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9C" w:rsidRPr="00D6339C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D6339C">
        <w:rPr>
          <w:b/>
          <w:bCs/>
          <w:sz w:val="26"/>
          <w:szCs w:val="26"/>
        </w:rPr>
        <w:t xml:space="preserve">Информация по вопросу </w:t>
      </w:r>
      <w:r w:rsidR="002F43E3">
        <w:rPr>
          <w:b/>
          <w:bCs/>
          <w:sz w:val="26"/>
          <w:szCs w:val="26"/>
        </w:rPr>
        <w:t>12</w:t>
      </w:r>
      <w:r w:rsidRPr="00D6339C">
        <w:rPr>
          <w:b/>
          <w:bCs/>
          <w:sz w:val="26"/>
          <w:szCs w:val="26"/>
        </w:rPr>
        <w:t xml:space="preserve">. </w:t>
      </w:r>
    </w:p>
    <w:p w:rsidR="00D6339C" w:rsidRDefault="002F43E3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2F43E3">
        <w:rPr>
          <w:b/>
          <w:bCs/>
          <w:sz w:val="26"/>
          <w:szCs w:val="26"/>
        </w:rPr>
        <w:t>О реализации корпоративных программ укрепления здоровья работающих.</w:t>
      </w:r>
    </w:p>
    <w:p w:rsidR="00D6339C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2F43E3">
        <w:rPr>
          <w:bCs/>
          <w:sz w:val="26"/>
          <w:szCs w:val="26"/>
        </w:rPr>
        <w:t xml:space="preserve">В соответствии с Указом Президента Российской Федерации от 9.10.2007  № 1351 «Об утверждении Концепции демографической политики Российской Федерации на период до 2025 года» решение задачи по сокращению уровня смертности населения, прежде всего граждан трудоспособного возраста, включает в себя, в том числе реализацию мероприятий по сокращению уровня смертности и травматизма от 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 (включая информирование работников о соответствующих рисках, создание системы выявления, оценки и контроля таких рисков). </w:t>
      </w:r>
    </w:p>
    <w:p w:rsidR="002F43E3" w:rsidRP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</w:p>
    <w:p w:rsid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2F43E3">
        <w:rPr>
          <w:bCs/>
          <w:sz w:val="26"/>
          <w:szCs w:val="26"/>
        </w:rPr>
        <w:t xml:space="preserve">Учитывая, что здоровье работников определяется не только профессиональными рисками на рабочих местах, но и социальными и индивидуальными факторами, а также доступом к медико-санитарным услугам, необходимо мотивировать сотрудников к здоровому образу жизни. </w:t>
      </w:r>
    </w:p>
    <w:p w:rsidR="002F43E3" w:rsidRP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</w:p>
    <w:p w:rsid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2F43E3">
        <w:rPr>
          <w:bCs/>
          <w:sz w:val="26"/>
          <w:szCs w:val="26"/>
        </w:rPr>
        <w:t xml:space="preserve">В этой связи, важным инструментом сохранения здоровья на рабочих местах становятся корпоративные программы укрепления здоровья, включающие расширенный перечень задач по оздоровлению работников помимо профилактики профессиональных заболеваний и травм, находящихся в компетенции мер по охране труда. </w:t>
      </w:r>
    </w:p>
    <w:p w:rsidR="002F43E3" w:rsidRP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</w:p>
    <w:p w:rsid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2F43E3">
        <w:rPr>
          <w:bCs/>
          <w:sz w:val="26"/>
          <w:szCs w:val="26"/>
        </w:rPr>
        <w:t>Одновременно, корпоративные программы укрепления здоровья являются дополнительной поддержкой, а не заменой системы управления профессиональными рисками на рабочих местах.</w:t>
      </w:r>
    </w:p>
    <w:p w:rsidR="002F43E3" w:rsidRP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2F43E3">
        <w:rPr>
          <w:bCs/>
          <w:sz w:val="26"/>
          <w:szCs w:val="26"/>
        </w:rPr>
        <w:t xml:space="preserve">  </w:t>
      </w:r>
    </w:p>
    <w:p w:rsidR="002F43E3" w:rsidRP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2F43E3">
        <w:rPr>
          <w:bCs/>
          <w:sz w:val="26"/>
          <w:szCs w:val="26"/>
        </w:rPr>
        <w:t xml:space="preserve">В целях организации работы по разработке и внедрению корпоративных программ укрепления здоровья в организациях муниципальных образований края </w:t>
      </w:r>
      <w:r w:rsidR="00575A20">
        <w:rPr>
          <w:bCs/>
          <w:sz w:val="26"/>
          <w:szCs w:val="26"/>
        </w:rPr>
        <w:t>разработаны</w:t>
      </w:r>
      <w:r w:rsidRPr="002F43E3">
        <w:rPr>
          <w:bCs/>
          <w:sz w:val="26"/>
          <w:szCs w:val="26"/>
        </w:rPr>
        <w:t xml:space="preserve"> методические рекомендации «Корпоративные модельные программы «Укрепление здоровья работающих».</w:t>
      </w:r>
    </w:p>
    <w:p w:rsid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</w:p>
    <w:p w:rsidR="002F43E3" w:rsidRDefault="002F43E3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Pr="002F43E3">
        <w:rPr>
          <w:bCs/>
          <w:sz w:val="26"/>
          <w:szCs w:val="26"/>
        </w:rPr>
        <w:t>инистерством труда и социальной политики Приморского края сформирована «Библиотека лучших практик в сфере охраны труда» (более 30 организаций края), в т.ч. практика внедрения корпоративных программ укрепления здоровья, и размещена на официальном сайте Правительства Приморского края, интерактивном портале министерства (</w:t>
      </w:r>
      <w:hyperlink r:id="rId5" w:history="1">
        <w:r w:rsidRPr="007156DB">
          <w:rPr>
            <w:rStyle w:val="a5"/>
            <w:bCs/>
            <w:sz w:val="26"/>
            <w:szCs w:val="26"/>
          </w:rPr>
          <w:t>https://soctrud.primorsky.ru/</w:t>
        </w:r>
      </w:hyperlink>
      <w:r w:rsidRPr="002F43E3">
        <w:rPr>
          <w:bCs/>
          <w:sz w:val="26"/>
          <w:szCs w:val="26"/>
        </w:rPr>
        <w:t>).</w:t>
      </w:r>
    </w:p>
    <w:p w:rsidR="00575A20" w:rsidRDefault="00575A20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</w:p>
    <w:p w:rsidR="007954E4" w:rsidRPr="00A53A54" w:rsidRDefault="007954E4" w:rsidP="002F43E3">
      <w:pPr>
        <w:tabs>
          <w:tab w:val="left" w:pos="710"/>
          <w:tab w:val="left" w:pos="1134"/>
          <w:tab w:val="num" w:pos="1418"/>
        </w:tabs>
        <w:suppressAutoHyphens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7954E4" w:rsidRPr="00A53A54" w:rsidSect="00034529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8ED6A3A"/>
    <w:multiLevelType w:val="multilevel"/>
    <w:tmpl w:val="BCE299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F"/>
    <w:rsid w:val="00034529"/>
    <w:rsid w:val="00241542"/>
    <w:rsid w:val="002F43E3"/>
    <w:rsid w:val="00575A20"/>
    <w:rsid w:val="006C1E7E"/>
    <w:rsid w:val="007954E4"/>
    <w:rsid w:val="009A5445"/>
    <w:rsid w:val="009C745E"/>
    <w:rsid w:val="00A53A54"/>
    <w:rsid w:val="00D54076"/>
    <w:rsid w:val="00D6339C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D297"/>
  <w15:chartTrackingRefBased/>
  <w15:docId w15:val="{1F9EBCC6-7F9B-44E4-BEAA-7B460C04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7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76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Hyperlink"/>
    <w:basedOn w:val="a0"/>
    <w:uiPriority w:val="99"/>
    <w:unhideWhenUsed/>
    <w:rsid w:val="002F43E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75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trud.primo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7</cp:revision>
  <cp:lastPrinted>2022-08-25T01:47:00Z</cp:lastPrinted>
  <dcterms:created xsi:type="dcterms:W3CDTF">2022-08-25T00:19:00Z</dcterms:created>
  <dcterms:modified xsi:type="dcterms:W3CDTF">2022-08-25T02:28:00Z</dcterms:modified>
</cp:coreProperties>
</file>