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lear" w:pos="720"/>
          <w:tab w:val="left" w:pos="0" w:leader="none"/>
          <w:tab w:val="left" w:pos="9724" w:leader="none"/>
        </w:tabs>
        <w:bidi w:val="0"/>
        <w:ind w:left="0" w:right="0" w:hanging="0"/>
        <w:jc w:val="center"/>
        <w:rPr/>
      </w:pPr>
      <w:r>
        <w:rPr/>
        <w:drawing>
          <wp:inline distT="0" distB="0" distL="0" distR="0">
            <wp:extent cx="662940" cy="839470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839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АДМИНИСТРАЦИЯ </w:t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pacing w:val="20"/>
          <w:sz w:val="32"/>
          <w:szCs w:val="32"/>
        </w:rPr>
        <w:t xml:space="preserve">АРСЕНЬЕВСКОГО ГОРОДСКОГО ОКРУГА 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/>
          <w:b/>
          <w:b/>
          <w:spacing w:val="20"/>
        </w:rPr>
      </w:pPr>
      <w:r>
        <w:rPr>
          <w:rFonts w:ascii="Times New Roman" w:hAnsi="Times New Roman"/>
          <w:b/>
          <w:spacing w:val="20"/>
        </w:rPr>
      </w:r>
    </w:p>
    <w:p>
      <w:pPr>
        <w:pStyle w:val="Normal"/>
        <w:shd w:fill="FFFFFF"/>
        <w:bidi w:val="0"/>
        <w:ind w:left="0" w:right="0" w:hanging="0"/>
        <w:jc w:val="center"/>
        <w:rPr/>
      </w:pPr>
      <w:r>
        <w:rPr>
          <w:rFonts w:ascii="Times New Roman" w:hAnsi="Times New Roman"/>
          <w:sz w:val="28"/>
          <w:szCs w:val="28"/>
        </w:rPr>
        <w:t>П О С Т А Н О В Л Е Н И Е</w:t>
      </w:r>
    </w:p>
    <w:p>
      <w:pPr>
        <w:pStyle w:val="Normal"/>
        <w:shd w:fill="FFFFFF"/>
        <w:bidi w:val="0"/>
        <w:ind w:left="0" w:right="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878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9"/>
        <w:gridCol w:w="4918"/>
        <w:gridCol w:w="512"/>
        <w:gridCol w:w="1162"/>
      </w:tblGrid>
      <w:tr>
        <w:trPr/>
        <w:tc>
          <w:tcPr>
            <w:tcW w:w="218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25 июля 2023 г.</w:t>
            </w:r>
          </w:p>
        </w:tc>
        <w:tc>
          <w:tcPr>
            <w:tcW w:w="4918" w:type="dxa"/>
            <w:tcBorders/>
          </w:tcPr>
          <w:p>
            <w:pPr>
              <w:pStyle w:val="Normal"/>
              <w:widowControl w:val="false"/>
              <w:tabs>
                <w:tab w:val="clear" w:pos="720"/>
                <w:tab w:val="left" w:pos="1360" w:leader="none"/>
              </w:tabs>
              <w:bidi w:val="0"/>
              <w:ind w:left="-456" w:right="0" w:hanging="0"/>
              <w:jc w:val="center"/>
              <w:rPr/>
            </w:pPr>
            <w:r>
              <w:rPr>
                <w:rFonts w:cs="Times New Roman" w:ascii="Times New Roman" w:hAnsi="Times New Roman"/>
              </w:rPr>
              <w:t>г. Арсеньев</w:t>
            </w:r>
          </w:p>
        </w:tc>
        <w:tc>
          <w:tcPr>
            <w:tcW w:w="512" w:type="dxa"/>
            <w:tcBorders/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>№</w:t>
            </w:r>
          </w:p>
        </w:tc>
        <w:tc>
          <w:tcPr>
            <w:tcW w:w="116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bidi w:val="0"/>
              <w:ind w:left="0" w:right="0" w:hanging="0"/>
              <w:rPr/>
            </w:pP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 xml:space="preserve">449-па </w:t>
            </w:r>
          </w:p>
        </w:tc>
      </w:tr>
    </w:tbl>
    <w:p>
      <w:pPr>
        <w:pStyle w:val="Normal"/>
        <w:widowControl w:val="false"/>
        <w:tabs>
          <w:tab w:val="clear" w:pos="720"/>
          <w:tab w:val="left" w:pos="0" w:leader="none"/>
        </w:tabs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0" w:leader="none"/>
        </w:tabs>
        <w:bidi w:val="0"/>
        <w:ind w:left="0" w:right="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tabs>
          <w:tab w:val="clear" w:pos="720"/>
          <w:tab w:val="left" w:pos="680" w:leader="none"/>
          <w:tab w:val="left" w:pos="1600" w:leader="none"/>
          <w:tab w:val="left" w:pos="1720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6"/>
          <w:szCs w:val="26"/>
        </w:rPr>
        <w:t xml:space="preserve">О внесении изменений в постановление администрации Арсеньевского городского округа от 30 декабря 2015 года № 948-па    «Об утверждении порядка проведения оценки регулирующего воздействия проектов муниципальных нормативных правовых актов Арсеньевского городского округа и экспертизы </w:t>
      </w:r>
    </w:p>
    <w:p>
      <w:pPr>
        <w:pStyle w:val="Normal"/>
        <w:tabs>
          <w:tab w:val="clear" w:pos="720"/>
          <w:tab w:val="left" w:pos="680" w:leader="none"/>
          <w:tab w:val="left" w:pos="1600" w:leader="none"/>
          <w:tab w:val="left" w:pos="1720" w:leader="none"/>
        </w:tabs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6"/>
          <w:szCs w:val="26"/>
        </w:rPr>
        <w:t>муниципальных нормативных правовых актов Арсеньевского    городского округа,    затрагивающих вопросы осуществления предпринимательской и инвестиционной деятельности</w:t>
      </w:r>
    </w:p>
    <w:p>
      <w:pPr>
        <w:pStyle w:val="Normal"/>
        <w:bidi w:val="0"/>
        <w:ind w:left="0" w:right="0" w:firstLine="85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ind w:left="0" w:right="0" w:firstLine="85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ind w:left="0" w:right="0" w:firstLine="85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sz w:val="26"/>
          <w:szCs w:val="26"/>
        </w:rPr>
        <w:t xml:space="preserve">На основании Постановления Правительства Приморского края от 18 апреля 2023 года № 260-пп «О внесении изменений в Постановление администрации Приморского края от 26 декабря 2012 года № 435-па «Об утверждении порядка организации и проведения оценки регулирующего воздействия проектов нормативных правовых актов Приморского края, экспертизы нормативных правовых актов Приморского края, оценки фактического воздействия нормативных правовых актов Приморского края», руководствуясь </w:t>
      </w:r>
      <w:hyperlink r:id="rId3">
        <w:r>
          <w:rPr>
            <w:rFonts w:ascii="Times New Roman" w:hAnsi="Times New Roman"/>
            <w:color w:val="111111"/>
            <w:sz w:val="26"/>
            <w:szCs w:val="26"/>
          </w:rPr>
          <w:t>Уставом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Арсеньевского городского округа, администрация Арсеньевского городского округа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0" w:right="0" w:hanging="0"/>
        <w:jc w:val="both"/>
        <w:rPr/>
      </w:pPr>
      <w:r>
        <w:rPr>
          <w:rFonts w:ascii="Times New Roman" w:hAnsi="Times New Roman"/>
          <w:sz w:val="26"/>
          <w:szCs w:val="26"/>
        </w:rPr>
        <w:t>ПОСТАНОВЛЯЕТ: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/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sz w:val="26"/>
          <w:szCs w:val="26"/>
        </w:rPr>
        <w:t xml:space="preserve">1. Внести в </w:t>
      </w:r>
      <w:hyperlink r:id="rId4">
        <w:r>
          <w:rPr>
            <w:rFonts w:ascii="Times New Roman" w:hAnsi="Times New Roman"/>
            <w:color w:val="111111"/>
            <w:sz w:val="26"/>
            <w:szCs w:val="26"/>
          </w:rPr>
          <w:t>Порядок</w:t>
        </w:r>
      </w:hyperlink>
      <w:r>
        <w:rPr>
          <w:rFonts w:ascii="Times New Roman" w:hAnsi="Times New Roman"/>
          <w:sz w:val="26"/>
          <w:szCs w:val="26"/>
        </w:rPr>
        <w:t xml:space="preserve"> проведения оценки регулирующего воздействия проектов муниципальных нормативных правовых актов Арсеньевского городского округа и экспертизы муниципальных нормативных правовых актов Арсеньевского городского округа, затрагивающих вопросы осуществления предпринимательской и инвестиционной деятельности, утвержденный постановлением администрации Арсеньевского городского округа от 30 декабря 2015 года № 948-па </w:t>
      </w:r>
      <w:hyperlink r:id="rId5">
        <w:r>
          <w:rPr>
            <w:rFonts w:ascii="Times New Roman" w:hAnsi="Times New Roman"/>
            <w:sz w:val="26"/>
            <w:szCs w:val="26"/>
          </w:rPr>
          <w:t>(в редакции постановлений администрации Арсеньевского городского округа от 12 февраля 2019</w:t>
        </w:r>
      </w:hyperlink>
      <w:r>
        <w:rPr>
          <w:rFonts w:ascii="Times New Roman" w:hAnsi="Times New Roman"/>
          <w:sz w:val="26"/>
          <w:szCs w:val="26"/>
        </w:rPr>
        <w:t xml:space="preserve"> года </w:t>
      </w:r>
      <w:hyperlink r:id="rId6">
        <w:r>
          <w:rPr>
            <w:rFonts w:ascii="Times New Roman" w:hAnsi="Times New Roman"/>
            <w:sz w:val="26"/>
            <w:szCs w:val="26"/>
          </w:rPr>
          <w:t xml:space="preserve">№ 93-па, от 19 марта 2020 года № 159-па, от 18 ноября 2020 года № 681-па, от 16 июня 2021 года № 317-па, от 25 февраля 2022 года № 109-па) (далее — </w:t>
        </w:r>
      </w:hyperlink>
      <w:r>
        <w:rPr>
          <w:rFonts w:ascii="Times New Roman" w:hAnsi="Times New Roman"/>
          <w:sz w:val="26"/>
          <w:szCs w:val="26"/>
        </w:rPr>
        <w:t>Порядок), следующие изменения: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1.1. Дополнить пункт 1.2 абзацем третьим следующего содержания: 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При ОРВ Проектов НПА, поправок к Проектам НПА проводится их оценка на соответствие принципам установления и оценки применения содержащихся в НПА требований,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(надзора), привлечения к административной ответственности.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1.2. Дополнить пункт 1.3 новым абзацем четвертым следующего содержания: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ОФВ НПА, устанавливающих обязательные требования, проводится в целях, указанных в абзаце третьем настоящего пункта, а также в целях анализа обоснованности установленных обязательных требований, определения и оценки фактических последствий их установления, выявления избыточных условий, ограничений, запретов, обязанностей.</w:t>
      </w:r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1.3. И</w:t>
      </w:r>
      <w:hyperlink r:id="rId7">
        <w:r>
          <w:rPr>
            <w:rFonts w:ascii="Times New Roman" w:hAnsi="Times New Roman"/>
            <w:color w:val="111111"/>
            <w:sz w:val="26"/>
            <w:szCs w:val="26"/>
          </w:rPr>
          <w:t>зложить пункт 1.4 в следующей редакции:</w:t>
        </w:r>
      </w:hyperlink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</w:t>
      </w:r>
      <w:hyperlink r:id="rId8">
        <w:r>
          <w:rPr>
            <w:rFonts w:ascii="Times New Roman" w:hAnsi="Times New Roman"/>
            <w:color w:val="111111"/>
            <w:sz w:val="26"/>
            <w:szCs w:val="26"/>
          </w:rPr>
          <w:t>1.4. Процедуре ОРВ подлежат Проекты НПА, поправки к Проектам НПА:</w:t>
        </w:r>
      </w:hyperlink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hyperlink r:id="rId9">
        <w:r>
          <w:rPr>
            <w:rFonts w:ascii="Times New Roman" w:hAnsi="Times New Roman"/>
            <w:color w:val="111111"/>
            <w:sz w:val="26"/>
            <w:szCs w:val="26"/>
          </w:rPr>
          <w:t>1) устанавливающие новые или изменяющие ранее предусмотренные НПА обязательные требования, связанные с осуществлением предпринимательской и иной экономической деятельности, оценка соблюдения которых осуществляется в рамках муниципального контроля (надзора), привлечения к административной ответственности</w:t>
        </w:r>
      </w:hyperlink>
      <w:r>
        <w:rPr>
          <w:rFonts w:ascii="Times New Roman" w:hAnsi="Times New Roman"/>
          <w:color w:val="111111"/>
          <w:sz w:val="26"/>
          <w:szCs w:val="26"/>
        </w:rPr>
        <w:t>.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hyperlink r:id="rId10">
        <w:r>
          <w:rPr>
            <w:rFonts w:ascii="Times New Roman" w:hAnsi="Times New Roman"/>
            <w:color w:val="111111"/>
            <w:sz w:val="26"/>
            <w:szCs w:val="26"/>
          </w:rPr>
          <w:t>2) устанавливающие новые или изменяющие ранее предусмотренные НПА обязанности и запреты для субъектов предпринимательской и инвестиционной деятельности;</w:t>
        </w:r>
      </w:hyperlink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hyperlink r:id="rId11">
        <w:r>
          <w:rPr>
            <w:rFonts w:ascii="Times New Roman" w:hAnsi="Times New Roman"/>
            <w:color w:val="111111"/>
            <w:sz w:val="26"/>
            <w:szCs w:val="26"/>
          </w:rPr>
          <w:t>3) устанавливающие или изменяющие ответственность за нарушение НПА, затрагивающих вопросы осуществления предпринимательской и иной экономической деятельности.</w:t>
        </w:r>
      </w:hyperlink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hyperlink r:id="rId12">
        <w:r>
          <w:rPr>
            <w:rFonts w:ascii="Times New Roman" w:hAnsi="Times New Roman"/>
            <w:color w:val="111111"/>
            <w:sz w:val="26"/>
            <w:szCs w:val="26"/>
          </w:rPr>
          <w:t>ОРВ не проводится в отношении:</w:t>
        </w:r>
      </w:hyperlink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1) проектов муниципальных правовых актов городского округа об установлении, о введении в действие или прекращении действия налогов (сборов), об изменении налоговых ставок (ставок сборов), порядка и срока уплаты налогов (сборов), установлении (отмене) налоговых льгот (льгот по сборам) и (или) оснований и порядка их применения;</w:t>
      </w:r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hyperlink r:id="rId13">
        <w:r>
          <w:rPr>
            <w:rFonts w:ascii="Times New Roman" w:hAnsi="Times New Roman"/>
            <w:color w:val="111111"/>
            <w:sz w:val="26"/>
            <w:szCs w:val="26"/>
          </w:rPr>
          <w:t>2) проектов муниципальных нормативных правовых актов, регулирующих бюджетные отношения;</w:t>
        </w:r>
      </w:hyperlink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hyperlink r:id="rId14">
        <w:r>
          <w:rPr>
            <w:rFonts w:ascii="Times New Roman" w:hAnsi="Times New Roman"/>
            <w:color w:val="111111"/>
            <w:sz w:val="26"/>
            <w:szCs w:val="26"/>
          </w:rPr>
          <w:t>3) Проектов НПА, поправок к Проектам НПА:</w:t>
        </w:r>
      </w:hyperlink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а</w:t>
      </w:r>
      <w:hyperlink r:id="rId15">
        <w:r>
          <w:rPr>
            <w:rFonts w:ascii="Times New Roman" w:hAnsi="Times New Roman"/>
            <w:color w:val="111111"/>
            <w:sz w:val="26"/>
            <w:szCs w:val="26"/>
          </w:rPr>
          <w:t>) подлежащих принятию при угрозе возникновения и (или) возникновении отдельных чрезвычайных ситуаций, введении режима повышенной готовности, чрезвычайной ситуации или разрабатываемых в целях реализации мер, принимаемых в рамках особых режимов, вводимых в целях реализации положений Федерального конституционного закона от 30 января 2002 года № 1-ФКЗ «О военном положении», на всей территории Российской Федерации либо на ее части.»;</w:t>
        </w:r>
      </w:hyperlink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1.4. В пункте 1.5: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1.4.1. Изложить </w:t>
      </w:r>
      <w:hyperlink r:id="rId16">
        <w:r>
          <w:rPr>
            <w:rFonts w:ascii="Times New Roman" w:hAnsi="Times New Roman"/>
            <w:color w:val="111111"/>
            <w:sz w:val="26"/>
            <w:szCs w:val="26"/>
          </w:rPr>
          <w:t>абзац восьмой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«заключение об ОРВ - завершающий процедуру ОРВ документ, подготавливаемый уполномоченным органом и содержащий выводы о наличии либо отсутствии положений, вводящих избыточные обязанности, запреты и ограничения для физических и юридических лиц в сфере предпринимательской, инвестиционной и иной экономической деятельности или способствующих их введению, а также положений, приводящих к возникновению необоснованных расходов физических и юридических лиц в сфере предпринимательской, инвестиционной и иной экономической деятельности, а также бюджета, о наличии либо отсутствии достаточного обоснования решения проблемы предложенным способом регулирования, а в отношении Проекта НПА, поправок к Проекту НПА, устанавливающего и (или) изменяющего обязательные требования, - о соблюдении или несоблюдении принципов установления и оценки применения содержащихся в НПА обязательных требований;»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1.4.2. Заменить </w:t>
      </w:r>
      <w:hyperlink r:id="rId17">
        <w:r>
          <w:rPr>
            <w:rFonts w:ascii="Times New Roman" w:hAnsi="Times New Roman"/>
            <w:color w:val="111111"/>
            <w:sz w:val="26"/>
            <w:szCs w:val="26"/>
          </w:rPr>
          <w:t>слова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«регулирующие органы» словами «разработчики Проектов НПА (далее - разработчики)»;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1.4.3. Д</w:t>
      </w:r>
      <w:hyperlink r:id="rId18">
        <w:r>
          <w:rPr>
            <w:rFonts w:ascii="Times New Roman" w:hAnsi="Times New Roman"/>
            <w:color w:val="111111"/>
            <w:sz w:val="26"/>
            <w:szCs w:val="26"/>
          </w:rPr>
          <w:t>ополнить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абзацами пятым, шестым следующего содержания: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«дополнительные публичные консультации - открытое обсуждение с заинтересованными лицами НПА, Проекта НПА, организуемое уполномоченным органом при подготовке заключения об ОРВ, заключения об экспертизе НПА, заключения об ОФВ НПА;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сводка предложений - документ, содержащий все комментарии и предложения, поступившие в рамках публичных консультаций (дополнительных публичных консультаций), а также результат их рассмотрения и его обоснование в случае отказа от учета предложения;»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1.4.4 Считать </w:t>
      </w:r>
      <w:hyperlink r:id="rId19">
        <w:r>
          <w:rPr>
            <w:rFonts w:ascii="Times New Roman" w:hAnsi="Times New Roman"/>
            <w:color w:val="111111"/>
            <w:sz w:val="26"/>
            <w:szCs w:val="26"/>
          </w:rPr>
          <w:t xml:space="preserve">абзацы </w:t>
        </w:r>
      </w:hyperlink>
      <w:r>
        <w:rPr>
          <w:rFonts w:ascii="Times New Roman" w:hAnsi="Times New Roman"/>
          <w:color w:val="111111"/>
          <w:sz w:val="26"/>
          <w:szCs w:val="26"/>
        </w:rPr>
        <w:t>пятый - десятый абзацами седьмым - двенадцатым соответственно;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1.5. Заменить далее по тексту </w:t>
      </w:r>
      <w:hyperlink r:id="rId20">
        <w:r>
          <w:rPr>
            <w:rFonts w:ascii="Times New Roman" w:hAnsi="Times New Roman"/>
            <w:color w:val="111111"/>
            <w:sz w:val="26"/>
            <w:szCs w:val="26"/>
          </w:rPr>
          <w:t>Порядка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слова «регулирующий орган» словом «разработчик» в соответствующих падежах;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1.6. Изложить </w:t>
      </w:r>
      <w:hyperlink r:id="rId21">
        <w:r>
          <w:rPr>
            <w:rFonts w:ascii="Times New Roman" w:hAnsi="Times New Roman"/>
            <w:color w:val="111111"/>
            <w:sz w:val="26"/>
            <w:szCs w:val="26"/>
          </w:rPr>
          <w:t>подпункт «в» пункта 2.3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«в) низкая степень регулирующего воздействия - Проект НПА, поправки к Проекту НПА содержат иные положения, не предусмотренные подпунктами «а», «б» настоящего пункта.»;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1.7. Изложить </w:t>
      </w:r>
      <w:hyperlink r:id="rId22">
        <w:r>
          <w:rPr>
            <w:rFonts w:ascii="Times New Roman" w:hAnsi="Times New Roman"/>
            <w:color w:val="111111"/>
            <w:sz w:val="26"/>
            <w:szCs w:val="26"/>
          </w:rPr>
          <w:t>подпункт «и» пункта 2.12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«и) устанавливаемые или изменяемые обязательные требования, обязанности, запреты и ограничения для субъектов предпринимательской, инвестиционной и иной экономической деятельности, оценка расходов и доходов субъектов предпринимательской, инвестиционной и иной экономической деятельности, связанных с необходимостью соблюдения установленных обязательных требований, обязанностей, запретов и ограничений либо с изменением содержания таких обязательных требований, обязанностей, запретов и ограничений;»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1.8. Заменить в </w:t>
      </w:r>
      <w:hyperlink r:id="rId23">
        <w:r>
          <w:rPr>
            <w:rFonts w:ascii="Times New Roman" w:hAnsi="Times New Roman"/>
            <w:color w:val="111111"/>
            <w:sz w:val="26"/>
            <w:szCs w:val="26"/>
          </w:rPr>
          <w:t>пунктах 2.5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, </w:t>
      </w:r>
      <w:hyperlink r:id="rId24">
        <w:r>
          <w:rPr>
            <w:rFonts w:ascii="Times New Roman" w:hAnsi="Times New Roman"/>
            <w:color w:val="111111"/>
            <w:sz w:val="26"/>
            <w:szCs w:val="26"/>
          </w:rPr>
          <w:t>2.26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слова «изменяющие или отменяющие» словами «или изменяющие»;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1.9. Д</w:t>
      </w:r>
      <w:hyperlink r:id="rId25">
        <w:r>
          <w:rPr>
            <w:rFonts w:ascii="Times New Roman" w:hAnsi="Times New Roman"/>
            <w:color w:val="111111"/>
            <w:sz w:val="26"/>
            <w:szCs w:val="26"/>
          </w:rPr>
          <w:t>ополнить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Порядок пунктом 2.16.1 следующего содержания: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«2.16.1. Целями проведения публичных консультаций по проекту НПА и сводному отчету являются: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а) сбор мнений заинтересованных лиц в отношении выявленной проблемы и обоснованности окончательного выбора варианта предлагаемого правового регулирования разработчиком;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б) установление степени объективности количественных и качественных оценок, касающихся групп потенциальных адресатов предлагаемого правового регулирования и возможных выгод и издержек указанных групп, а также доходов и расходов бюджета городского округа, связанных с введением указанного варианта предлагаемого правового регулирования;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в) определение достижимости целей предлагаемого правового регулирования, поставленных разработчиком, а также возможных рисков, связанных с введением соответствующего правового регулирования;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г) оценка заинтересованными лицами качества подготовки соответствующего проекта нормативного правового акта с точки зрения соответствия цели выбранного варианта предлагаемого правового регулирования.»;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1.10. Заменить в </w:t>
      </w:r>
      <w:hyperlink r:id="rId26">
        <w:r>
          <w:rPr>
            <w:rFonts w:ascii="Times New Roman" w:hAnsi="Times New Roman"/>
            <w:color w:val="111111"/>
            <w:sz w:val="26"/>
            <w:szCs w:val="26"/>
          </w:rPr>
          <w:t>пункте 2.23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слова "изменяют или отменяют" словами "или изменяют";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 </w:t>
      </w:r>
      <w:r>
        <w:rPr>
          <w:rFonts w:ascii="Times New Roman" w:hAnsi="Times New Roman"/>
          <w:color w:val="111111"/>
          <w:sz w:val="26"/>
          <w:szCs w:val="26"/>
        </w:rPr>
        <w:t xml:space="preserve">1.11. </w:t>
      </w:r>
      <w:hyperlink r:id="rId27">
        <w:r>
          <w:rPr>
            <w:rFonts w:ascii="Times New Roman" w:hAnsi="Times New Roman"/>
            <w:color w:val="111111"/>
            <w:sz w:val="26"/>
            <w:szCs w:val="26"/>
          </w:rPr>
          <w:t>Дополнить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Порядок пунктом 2.23.1 в следующей редакции: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«2.23.1. В ходе подготовки Заключения об ОРВ уполномоченным органом могут проводится дополнительные публичные консультации по проекту НПА, относящемуся к высокой или средней степени регулирующего воздействия, в случае: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наличия разногласий, выявленных по результатам анализа документов, полученных от регулирующего органа в соответствии с пунктом 2.22 настоящего Порядка, с целью соблюдения баланса интересов групп, указанных в абзаце восьмом пункта 2.12 настоящего Порядка;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отсутствия аргументированных ответов от заинтересованных лиц на вопросы, касающиеся предлагаемого варианта правового регулирования;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отсутствия замечаний и предложений по проекту НПА.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Для проведения дополнительных публичных консультаций уполномоченным органом в разделе «Новости» на официальном сайте Арсеньевского городского округа в информационно-телекоммуникационной сети Интернет (далее - официальный сайт ППК) размещается информационное сообщение о проведении дополнительных публичных консультаций с указанием ссылки на размещенный проект НПА на официальном сайте, срока проведения дополнительных публичных консультаций, а также способа направления заинтересованными лицами своих предложений и замечаний по проекту НПА.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Предложения и замечания по проекту НПА в рамках дополнительных публичных консультаций могут быть направлены заинтересованными лицами в течение срока проведения дополнительных публичных консультаций, который не может быть менее пяти рабочих дней.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Срок подготовки Заключения об ОРВ, указанный в абзаце первом пункта 2.23 настоящего Порядка, приостанавливается на срок проведения дополнительных публичных консультаций, о чем уполномоченный орган уведомляет регулирующий орган.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При поступлении по итогам проведения дополнительных публичных консультаций предложений и замечаний по проекту НПА от заинтересованных лиц уполномоченный орган в течение двух рабочих дней со дня, следующего за днем окончания срока для направления предложений и замечаний по проекту НПА заинтересованными лицами, направляет все поступившие в установленный срок предложения и замечания по проекту НПА регулирующему органу для их рассмотрения.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Обработка предложений и замечаний по проекту НПА, поступивших в ходе проведения дополнительных публичных консультаций, осуществляется регулирующим органом в соответствии с пунктами 2.20, 2.21 настоящего Порядка в срок не более трех рабочих дней со дня их поступления.»;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1.12. Д</w:t>
      </w:r>
      <w:hyperlink r:id="rId28">
        <w:r>
          <w:rPr>
            <w:rFonts w:ascii="Times New Roman" w:hAnsi="Times New Roman"/>
            <w:color w:val="111111"/>
            <w:sz w:val="26"/>
            <w:szCs w:val="26"/>
          </w:rPr>
          <w:t>ополнить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Порядок пунктом 2.29.1 следующего содержания: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«2.29.1. Принятый НПА подлежит размещению разработчиком на официальном сайте не позднее трех рабочих дней со дня его принятия. В случае принятия решения об отказе в принятии Проекта НПА разработчик уведомляет уполномоченный орган в течение трех рабочих дней со дня принятия указанного решения.»;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1.13. Дополнить пункт 3.3 абзацем вторым следующего содержания: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«В целях исполнения поручений или указаний Губернатора Приморского края, должностных лиц администрации Арсеньевского городского округа, о проведении экспертизы НПА в План экспертизы НПА в течение 10 рабочих дней вносятся соответствующие изменения приказом уполномоченного органа, который размещается в течение трех рабочих дней со дня его утверждения на официальном сайте Арсеньевского городского округа».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1.14. В </w:t>
      </w:r>
      <w:hyperlink r:id="rId29">
        <w:r>
          <w:rPr>
            <w:rFonts w:ascii="Times New Roman" w:hAnsi="Times New Roman"/>
            <w:color w:val="111111"/>
            <w:sz w:val="26"/>
            <w:szCs w:val="26"/>
          </w:rPr>
          <w:t>пункте 3.15</w:t>
        </w:r>
      </w:hyperlink>
      <w:r>
        <w:rPr>
          <w:rFonts w:ascii="Times New Roman" w:hAnsi="Times New Roman"/>
          <w:color w:val="111111"/>
          <w:sz w:val="26"/>
          <w:szCs w:val="26"/>
        </w:rPr>
        <w:t>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1.14.1. Д</w:t>
      </w:r>
      <w:hyperlink r:id="rId30">
        <w:r>
          <w:rPr>
            <w:rFonts w:ascii="Times New Roman" w:hAnsi="Times New Roman"/>
            <w:color w:val="111111"/>
            <w:sz w:val="26"/>
            <w:szCs w:val="26"/>
          </w:rPr>
          <w:t>ополнить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новыми абзацами вторым, третьим следующего содержания: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«В ходе подготовки заключения об экспертизе НПА уполномоченный орган может проводить дополнительные публичные консультации в соответствии с пунктом 2.23.1 настоящего Порядка.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Разработчики по запросу уполномоченного органа представляют необходимые материалы в целях проведения экспертизы НПА. Указанные материалы должны содержать сведения (расчеты, обоснования), на которых основывается необходимость государственного регулирования соответствующих общественных отношений.»;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1.14.2. Считать </w:t>
      </w:r>
      <w:hyperlink r:id="rId31">
        <w:r>
          <w:rPr>
            <w:rFonts w:ascii="Times New Roman" w:hAnsi="Times New Roman"/>
            <w:color w:val="111111"/>
            <w:sz w:val="26"/>
            <w:szCs w:val="26"/>
          </w:rPr>
          <w:t>абзацы второй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, </w:t>
      </w:r>
      <w:hyperlink r:id="rId32">
        <w:r>
          <w:rPr>
            <w:rFonts w:ascii="Times New Roman" w:hAnsi="Times New Roman"/>
            <w:color w:val="111111"/>
            <w:sz w:val="26"/>
            <w:szCs w:val="26"/>
          </w:rPr>
          <w:t>третий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абзацами четвертым, пятым соответственно;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1.15. Изложить </w:t>
      </w:r>
      <w:hyperlink r:id="rId33">
        <w:r>
          <w:rPr>
            <w:rFonts w:ascii="Times New Roman" w:hAnsi="Times New Roman"/>
            <w:color w:val="111111"/>
            <w:sz w:val="26"/>
            <w:szCs w:val="26"/>
          </w:rPr>
          <w:t>пункт 4.1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«4.1. ОФВ НПА проводится: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В отношении НПА, затрагивающих вопросы ведения предпринимательской, инвестиционной и иной экономической деятельности, при проведении ОРВ которых в соответствии с настоящим Порядком определена высокая или средняя степень регулирующего воздействия и со дня их вступления в силу прошло два и более года.»;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исключить в </w:t>
      </w:r>
      <w:hyperlink r:id="rId34">
        <w:r>
          <w:rPr>
            <w:rFonts w:ascii="Times New Roman" w:hAnsi="Times New Roman"/>
            <w:color w:val="111111"/>
            <w:sz w:val="26"/>
            <w:szCs w:val="26"/>
          </w:rPr>
          <w:t>подпункте «б» пункта 4.1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слова «и со дня их вступления в силу прошло два и более года»;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Заменить в </w:t>
      </w:r>
      <w:hyperlink r:id="rId35">
        <w:r>
          <w:rPr>
            <w:rFonts w:ascii="Times New Roman" w:hAnsi="Times New Roman"/>
            <w:color w:val="111111"/>
            <w:sz w:val="26"/>
            <w:szCs w:val="26"/>
          </w:rPr>
          <w:t>пункте 4.3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слова «предпринимательской и инвестиционной» словами «предпринимательской, инвестиционной и иной экономической»;</w:t>
      </w:r>
    </w:p>
    <w:p>
      <w:pPr>
        <w:pStyle w:val="Normal"/>
        <w:bidi w:val="0"/>
        <w:spacing w:lineRule="auto" w:line="360" w:before="160" w:after="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1.16. Изложить </w:t>
      </w:r>
      <w:hyperlink r:id="rId36">
        <w:r>
          <w:rPr>
            <w:rFonts w:ascii="Times New Roman" w:hAnsi="Times New Roman"/>
            <w:color w:val="111111"/>
            <w:sz w:val="26"/>
            <w:szCs w:val="26"/>
          </w:rPr>
          <w:t>пункт 4.6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 w:before="160" w:after="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«4.6. НПА включаются в проект Плана ОФВ НПА при наличии следующих сведений: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реквизиты действующего НПА;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общественные отношения, а также группы субъектов предпринимательской, инвестиционной и иной экономической деятельности, на которых направлено введенное регулирование;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итоги проведения оценки применения обязательных требований, содержащих в НПА;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положения НПА, которые могут создавать условия, необоснованно затрудняющие ведение предпринимательской, инвестиционной и иной экономической деятельности или приводящие к возникновению необоснованных расходов субъектов предпринимательской, инвестиционной и иной экономической деятельности, бюджета городского округа и бюджета муниципальных образований, а также иные негативные эффекты, вызванные принятием НПА.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Предложения, не содержащие сведения, указанные в пункте 4.6 настоящего Порядка, уполномоченным органом не рассматриваются.»;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1.17. Изложить </w:t>
      </w:r>
      <w:hyperlink r:id="rId37">
        <w:r>
          <w:rPr>
            <w:rFonts w:ascii="Times New Roman" w:hAnsi="Times New Roman"/>
            <w:color w:val="111111"/>
            <w:sz w:val="26"/>
            <w:szCs w:val="26"/>
          </w:rPr>
          <w:t>абзац второй пункта 4.8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«В целях исполнения поручений или указаний Губернатора Приморского края, должностных лиц администрации Арсеньевского городского округа, осуществляющих государственный контроль (надзор), привлечение к административной ответственности, предоставление лицензий и иных разрешений, аккредитацию, оценку соответствия продукции, иных форм оценки и экспертизы, уполномоченных на проведение оценки применения обязательных требований о проведении ОФВ НПА в План ОФВ НПА в течение 10 рабочих дней вносятся соответствующие изменения приказом распоряжением администрации городского округа, который размещается в течение трех рабочих дней со дня его утверждения на официальном сайте.»;</w:t>
      </w:r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1.18. Изложить </w:t>
      </w:r>
      <w:hyperlink r:id="rId38">
        <w:r>
          <w:rPr>
            <w:rFonts w:ascii="Times New Roman" w:hAnsi="Times New Roman"/>
            <w:color w:val="111111"/>
            <w:sz w:val="26"/>
            <w:szCs w:val="26"/>
          </w:rPr>
          <w:t>пункт 4.11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«4.11. Регулирующим органом в течение 15 рабочих дней со дня получения уведомления о необходимости проведения процедуры ОФВ подготавливается и размещается для проведения публичных консультаций на официальном сайте отчет об ОФВ НПА по форме, утвержденной уполномоченным органом, содержащий следующие сведения и материалы: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а) реквизиты, источники официального опубликования НПА;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б) сведения о вносившихся в НПА изменениях (при наличии);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в) период действия НПА и его отдельных положений (при наличии);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г) сведения о полномочиях регулирующих органов (субъектов права законодательной инициативы) на установление соответствующих требований (в том числе обязательных требованиях);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д) сведения об основных группах субъектов предпринимательской, инвестиционной и иной экономической деятельности, иных заинтересованных лиц, включая органы исполнительной власти Приморского края, органы местного самоуправления муниципальных образований Приморского края, интересы которых затрагиваются регулированием, установленным НПА, количестве таких субъектов, изменении численности и состава таких групп по сравнению со сведениями, представленными регулирующим органом при проведении ОРВ;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е) сведения о результатах ОРВ Проекта НПА, включая сводный отчет, заключение об ОРВ, сводку предложений;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ж) сведения о фактических положительных и отрицательных последствиях установленного правового регулирования/установления обязательных требований;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з) сведения о достижении (недостижении) заявленных целей введения регулирования, указанных в сводном отчете, в том числе на основе анализа качественных и количественных параметров, характеризующих результат введения указанного регулирования;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и) сведения об объеме фактических расходов, доходов субъектов предпринимательской, инвестиционной и иной экономической деятельности, связанных с необходимостью соблюдения установленных НПА обязанностей (в том числе обязательных требований), запретов или ограничений;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к) сведения об изменении расходов, доходов бюджета городского округа    от реализации предусмотренных НПА функций (полномочий, обязанностей, прав) администрации городского округа;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л) сведения о реализации методов контроля эффективности достижения цели регулирования, установленных НПА, с указанием соответствующих расходов краевого бюджета и бюджетов муниципальных образований Приморского края;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м) сведения о привлечении к ответственности за нарушение установленных НПА требований (в том числе обязательных требований) в случае, если НПА установлена такая ответственность;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н) анализ влияния социально-экономических последствий реализации НПА на деятельность субъектов предпринимательской, инвестиционной и иной экономической деятельности, в том числе на деятельность субъектов малого и среднего предпринимательства;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о) подготовленные на основе полученных выводов предложения о признании утратившими силу, изменении или продлении срока действия НПА, его отдельных положений (о целесообразности сохранения действия НПА, его отдельных положений) - в случае оценки НПА, содержащего срок действия в соответствии с </w:t>
      </w:r>
      <w:hyperlink r:id="rId39">
        <w:r>
          <w:rPr>
            <w:rFonts w:ascii="Times New Roman" w:hAnsi="Times New Roman"/>
            <w:color w:val="111111"/>
            <w:sz w:val="26"/>
            <w:szCs w:val="26"/>
          </w:rPr>
          <w:t>частью 8 статьи 3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Закона № 126-КЗ (ред. от 24 апреля 2023 года «О обязательных требований, установленными правовыми актами Приморского края» (принят Законодательным собранием Приморского края 27 мая 2022 года);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п) иные сведения, которые, по мнению регулирующего органа, позволяют оценить фактическое воздействие на соответствующие отношения, которые регулируются НПА.»;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1.19. Изложить </w:t>
      </w:r>
      <w:hyperlink r:id="rId40">
        <w:r>
          <w:rPr>
            <w:rFonts w:ascii="Times New Roman" w:hAnsi="Times New Roman"/>
            <w:color w:val="111111"/>
            <w:sz w:val="26"/>
            <w:szCs w:val="26"/>
          </w:rPr>
          <w:t>пункт 4.15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«4.15. По результатам публичных консультаций регулирующий орган дорабатывает отчет об ОФВ НПА. При этом в отчет об ОФВ НПА включаются: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сведения о проведении публичных консультаций отчета об ОФВ НПА и сроках его проведения;</w:t>
      </w:r>
    </w:p>
    <w:p>
      <w:pPr>
        <w:pStyle w:val="ConsPlusNormal"/>
        <w:bidi w:val="0"/>
        <w:spacing w:lineRule="auto" w:line="360"/>
        <w:ind w:left="-283" w:right="283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сводка предложений, поступивших в ходе публичных консультаций отчета об ОФВ НПА, подготовленные на основе полученных выводов предложения об отмене или изменении НПА, а также о принятии иных мер, в том числе в соответствии с </w:t>
      </w:r>
      <w:hyperlink r:id="rId41">
        <w:r>
          <w:rPr>
            <w:rFonts w:ascii="Times New Roman" w:hAnsi="Times New Roman"/>
            <w:color w:val="111111"/>
            <w:sz w:val="26"/>
            <w:szCs w:val="26"/>
          </w:rPr>
          <w:t>Законом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№ 126-КЗ.»;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1.20. Дополнить </w:t>
      </w:r>
      <w:hyperlink r:id="rId42">
        <w:r>
          <w:rPr>
            <w:rFonts w:ascii="Times New Roman" w:hAnsi="Times New Roman"/>
            <w:color w:val="111111"/>
            <w:sz w:val="26"/>
            <w:szCs w:val="26"/>
          </w:rPr>
          <w:t>пункт 4.17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абзацем следующего содержания: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«В ходе подготовки заключения об ОФВ НПА уполномоченный орган может проводить дополнительные публичные консультации в соответствии с пунктом 2.23.1 настоящего Порядка.»;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1.21. Изложить </w:t>
      </w:r>
      <w:hyperlink r:id="rId43">
        <w:r>
          <w:rPr>
            <w:rFonts w:ascii="Times New Roman" w:hAnsi="Times New Roman"/>
            <w:color w:val="111111"/>
            <w:sz w:val="26"/>
            <w:szCs w:val="26"/>
          </w:rPr>
          <w:t>пункт 4.18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«4.18. В заключении об ОФВ НПА содержатся выводы о соответствии обязательных требований принципам установления и оценки применения содержащихся в НПА обязательных требований, их обоснованности, о фактических последствиях их установления, выявлении избыточных условий, ограничений, запретов, обязанностей, о достижении заявленных целей регулирования, оцениваются положительные и отрицательные последствия действия НПА, предложения об отмене или изменении НПА или его отдельных положений (изменение существующего регулирования) или о продлении срока действия устанавливающего обязательные требования НПА, его отдельных положений в случае отсутствия оснований для признания его утратившим силу или внесения изменений в НПА.»;</w:t>
      </w:r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1.22. Изложить </w:t>
      </w:r>
      <w:hyperlink r:id="rId44">
        <w:r>
          <w:rPr>
            <w:rFonts w:ascii="Times New Roman" w:hAnsi="Times New Roman"/>
            <w:color w:val="111111"/>
            <w:sz w:val="26"/>
            <w:szCs w:val="26"/>
          </w:rPr>
          <w:t>пункт 4.20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в следующей редакции: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«4.20. В случае необходимости изменения существующего регулирования, или признания утратившим силу, или продления срока действия НПА, устанавливающего обязательные требования, его отдельных положений в соответствии с заключением об ОФВ НПА регулирующий орган обязан в течение трех месяцев со дня получения заключения об ОФВ НПА разработать соответствующий проект НПА с приложением отзыва об учете замечаний и (или) предложений, изложенных в заключении об ОФВ НПА, и уведомить об этом уполномоченный орган в системе электронного документооборота.»;</w:t>
      </w:r>
    </w:p>
    <w:p>
      <w:pPr>
        <w:pStyle w:val="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1.23. Изложить п</w:t>
      </w:r>
      <w:hyperlink r:id="rId45">
        <w:r>
          <w:rPr>
            <w:rFonts w:ascii="Times New Roman" w:hAnsi="Times New Roman"/>
            <w:color w:val="111111"/>
            <w:sz w:val="26"/>
            <w:szCs w:val="26"/>
          </w:rPr>
          <w:t>риложени</w:t>
        </w:r>
      </w:hyperlink>
      <w:r>
        <w:rPr>
          <w:rFonts w:ascii="Times New Roman" w:hAnsi="Times New Roman"/>
          <w:color w:val="111111"/>
          <w:sz w:val="26"/>
          <w:szCs w:val="26"/>
        </w:rPr>
        <w:t>е № 3 к Порядку в редакции Приложения к настоящему постановлению.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>
      <w:pPr>
        <w:pStyle w:val="Normal"/>
        <w:bidi w:val="0"/>
        <w:spacing w:lineRule="auto" w:line="360"/>
        <w:ind w:left="0" w:right="0" w:firstLine="737"/>
        <w:jc w:val="both"/>
        <w:rPr/>
      </w:pPr>
      <w:hyperlink r:id="rId46">
        <w:r>
          <w:rPr>
            <w:rFonts w:ascii="Times New Roman" w:hAnsi="Times New Roman"/>
            <w:color w:val="111111"/>
            <w:sz w:val="26"/>
            <w:szCs w:val="26"/>
          </w:rPr>
          <w:t>3. Настоящее постановление вступает в силу после его официального опубликования.</w:t>
        </w:r>
      </w:hyperlink>
    </w:p>
    <w:p>
      <w:pPr>
        <w:pStyle w:val="Normal"/>
        <w:bidi w:val="0"/>
        <w:ind w:left="0" w:right="0" w:hanging="0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</w:rPr>
      </w:r>
    </w:p>
    <w:p>
      <w:pPr>
        <w:pStyle w:val="Normal"/>
        <w:bidi w:val="0"/>
        <w:ind w:left="0" w:right="0" w:hanging="0"/>
        <w:rPr/>
      </w:pPr>
      <w:hyperlink r:id="rId47">
        <w:r>
          <w:rPr>
            <w:rFonts w:cs="Times New Roman" w:ascii="Times New Roman" w:hAnsi="Times New Roman"/>
            <w:color w:val="111111"/>
            <w:sz w:val="26"/>
            <w:szCs w:val="26"/>
          </w:rPr>
          <w:t>Глава городского округа</w:t>
        </w:r>
      </w:hyperlink>
      <w:r>
        <w:rPr>
          <w:rFonts w:cs="Times New Roman" w:ascii="Times New Roman" w:hAnsi="Times New Roman"/>
          <w:color w:val="111111"/>
          <w:sz w:val="26"/>
          <w:szCs w:val="26"/>
        </w:rPr>
        <w:t xml:space="preserve">                                                                                                          </w:t>
      </w:r>
      <w:hyperlink r:id="rId48">
        <w:r>
          <w:rPr>
            <w:rFonts w:cs="Times New Roman" w:ascii="Times New Roman" w:hAnsi="Times New Roman"/>
            <w:color w:val="111111"/>
            <w:sz w:val="26"/>
            <w:szCs w:val="26"/>
          </w:rPr>
          <w:t>В.С. П</w:t>
        </w:r>
      </w:hyperlink>
      <w:r>
        <w:rPr>
          <w:rFonts w:cs="Times New Roman" w:ascii="Times New Roman" w:hAnsi="Times New Roman"/>
          <w:color w:val="111111"/>
          <w:sz w:val="26"/>
          <w:szCs w:val="26"/>
        </w:rPr>
        <w:t>ивень</w:t>
      </w:r>
    </w:p>
    <w:p>
      <w:pPr>
        <w:pStyle w:val="Normal"/>
        <w:bidi w:val="0"/>
        <w:ind w:left="0" w:right="0" w:firstLine="567"/>
        <w:jc w:val="both"/>
        <w:rPr/>
      </w:pPr>
      <w:r>
        <w:rPr>
          <w:rFonts w:ascii="Times New Roman" w:hAnsi="Times New Roman"/>
          <w:color w:val="111111"/>
          <w:sz w:val="20"/>
          <w:szCs w:val="20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color w:val="111111"/>
          <w:sz w:val="20"/>
          <w:szCs w:val="20"/>
        </w:rPr>
      </w:pPr>
      <w:r>
        <w:rPr>
          <w:rFonts w:ascii="Times New Roman" w:hAnsi="Times New Roman"/>
          <w:color w:val="111111"/>
          <w:sz w:val="20"/>
          <w:szCs w:val="20"/>
        </w:rPr>
      </w:r>
    </w:p>
    <w:p>
      <w:pPr>
        <w:pStyle w:val="Normal"/>
        <w:bidi w:val="0"/>
        <w:ind w:left="0" w:right="0"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r>
        <w:rPr/>
      </w:r>
    </w:p>
    <w:p>
      <w:pPr>
        <w:pStyle w:val="ConsPlusNormal"/>
        <w:bidi w:val="0"/>
        <w:spacing w:before="114" w:after="114"/>
        <w:ind w:left="5103" w:right="0" w:hanging="0"/>
        <w:jc w:val="center"/>
        <w:rPr/>
      </w:pPr>
      <w:r>
        <w:rPr>
          <w:rFonts w:ascii="Times New Roman" w:hAnsi="Times New Roman"/>
          <w:sz w:val="26"/>
          <w:szCs w:val="26"/>
        </w:rPr>
        <w:t>Приложение</w:t>
      </w:r>
    </w:p>
    <w:p>
      <w:pPr>
        <w:pStyle w:val="ConsPlusNormal"/>
        <w:bidi w:val="0"/>
        <w:ind w:left="5103" w:right="0" w:hanging="0"/>
        <w:jc w:val="center"/>
        <w:rPr/>
      </w:pPr>
      <w:r>
        <w:rPr>
          <w:rFonts w:ascii="Times New Roman" w:hAnsi="Times New Roman"/>
          <w:sz w:val="26"/>
          <w:szCs w:val="26"/>
        </w:rPr>
        <w:t>к постановлению    администрации</w:t>
      </w:r>
    </w:p>
    <w:p>
      <w:pPr>
        <w:pStyle w:val="ConsPlusNormal"/>
        <w:bidi w:val="0"/>
        <w:ind w:left="5103" w:right="0" w:hanging="0"/>
        <w:jc w:val="center"/>
        <w:rPr/>
      </w:pPr>
      <w:r>
        <w:rPr>
          <w:rFonts w:ascii="Times New Roman" w:hAnsi="Times New Roman"/>
          <w:sz w:val="26"/>
          <w:szCs w:val="26"/>
        </w:rPr>
        <w:t>Арсеньевского городского округа</w:t>
      </w:r>
    </w:p>
    <w:p>
      <w:pPr>
        <w:pStyle w:val="ConsPlusNormal"/>
        <w:bidi w:val="0"/>
        <w:ind w:left="5103" w:right="0" w:hanging="0"/>
        <w:jc w:val="center"/>
        <w:rPr/>
      </w:pPr>
      <w:r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  <w:u w:val="single"/>
        </w:rPr>
        <w:t>25 июля</w:t>
      </w:r>
      <w:r>
        <w:rPr>
          <w:rFonts w:ascii="Times New Roman" w:hAnsi="Times New Roman"/>
          <w:sz w:val="26"/>
          <w:szCs w:val="26"/>
        </w:rPr>
        <w:t xml:space="preserve"> 2023 года    № </w:t>
      </w:r>
      <w:r>
        <w:rPr>
          <w:rFonts w:ascii="Times New Roman" w:hAnsi="Times New Roman"/>
          <w:sz w:val="26"/>
          <w:szCs w:val="26"/>
          <w:u w:val="single"/>
        </w:rPr>
        <w:t>449-па</w:t>
      </w:r>
    </w:p>
    <w:p>
      <w:pPr>
        <w:pStyle w:val="ConsPlusNormal"/>
        <w:bidi w:val="0"/>
        <w:ind w:left="5103" w:right="0" w:hanging="0"/>
        <w:jc w:val="center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</w:r>
    </w:p>
    <w:p>
      <w:pPr>
        <w:pStyle w:val="ConsPlusNormal"/>
        <w:bidi w:val="0"/>
        <w:ind w:left="0" w:right="0" w:hanging="0"/>
        <w:jc w:val="right"/>
        <w:rPr/>
      </w:pPr>
      <w:r>
        <w:rPr/>
      </w:r>
    </w:p>
    <w:p>
      <w:pPr>
        <w:pStyle w:val="ConsPlusNormal"/>
        <w:tabs>
          <w:tab w:val="clear" w:pos="720"/>
          <w:tab w:val="left" w:pos="5400" w:leader="none"/>
          <w:tab w:val="left" w:pos="5441" w:leader="none"/>
          <w:tab w:val="left" w:pos="5741" w:leader="none"/>
        </w:tabs>
        <w:bidi w:val="0"/>
        <w:ind w:left="5670" w:right="0" w:hanging="0"/>
        <w:rPr/>
      </w:pPr>
      <w:r>
        <w:rPr>
          <w:rFonts w:ascii="Times New Roman" w:hAnsi="Times New Roman"/>
          <w:sz w:val="26"/>
          <w:szCs w:val="26"/>
        </w:rPr>
        <w:t xml:space="preserve">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  </w:t>
      </w:r>
      <w:r>
        <w:rPr>
          <w:rFonts w:ascii="Times New Roman" w:hAnsi="Times New Roman"/>
          <w:sz w:val="26"/>
          <w:szCs w:val="26"/>
        </w:rPr>
        <w:t xml:space="preserve">«Приложение    № 3 </w:t>
      </w:r>
    </w:p>
    <w:p>
      <w:pPr>
        <w:pStyle w:val="ConsPlusNormal"/>
        <w:tabs>
          <w:tab w:val="clear" w:pos="720"/>
          <w:tab w:val="left" w:pos="5400" w:leader="none"/>
          <w:tab w:val="left" w:pos="5441" w:leader="none"/>
          <w:tab w:val="left" w:pos="5741" w:leader="none"/>
        </w:tabs>
        <w:bidi w:val="0"/>
        <w:ind w:left="5670" w:right="0" w:hanging="0"/>
        <w:rPr/>
      </w:pPr>
      <w:r>
        <w:rPr>
          <w:rFonts w:ascii="Times New Roman" w:hAnsi="Times New Roman"/>
          <w:sz w:val="26"/>
          <w:szCs w:val="26"/>
        </w:rPr>
        <w:t>к Порядку</w:t>
      </w:r>
    </w:p>
    <w:p>
      <w:pPr>
        <w:pStyle w:val="ConsPlusNormal"/>
        <w:tabs>
          <w:tab w:val="clear" w:pos="720"/>
          <w:tab w:val="left" w:pos="5400" w:leader="none"/>
          <w:tab w:val="left" w:pos="5441" w:leader="none"/>
          <w:tab w:val="left" w:pos="5741" w:leader="none"/>
        </w:tabs>
        <w:bidi w:val="0"/>
        <w:ind w:left="567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tabs>
          <w:tab w:val="clear" w:pos="720"/>
          <w:tab w:val="left" w:pos="5400" w:leader="none"/>
          <w:tab w:val="left" w:pos="5441" w:leader="none"/>
          <w:tab w:val="left" w:pos="5741" w:leader="none"/>
        </w:tabs>
        <w:bidi w:val="0"/>
        <w:ind w:left="0" w:right="0" w:hanging="0"/>
        <w:jc w:val="right"/>
        <w:rPr/>
      </w:pPr>
      <w:r>
        <w:rPr/>
      </w:r>
    </w:p>
    <w:p>
      <w:pPr>
        <w:pStyle w:val="ConsPlusNormal"/>
        <w:bidi w:val="0"/>
        <w:ind w:left="0" w:right="0" w:hanging="0"/>
        <w:jc w:val="center"/>
        <w:rPr/>
      </w:pPr>
      <w:bookmarkStart w:id="0" w:name="Par654"/>
      <w:bookmarkEnd w:id="0"/>
      <w:r>
        <w:rPr>
          <w:rFonts w:ascii="Times New Roman" w:hAnsi="Times New Roman"/>
          <w:b/>
          <w:sz w:val="28"/>
          <w:szCs w:val="28"/>
        </w:rPr>
        <w:t>РЕКОМЕНДУЕМЫЙ ПЕРЕЧЕНЬ ВОПРОСОВ</w:t>
      </w:r>
    </w:p>
    <w:p>
      <w:pPr>
        <w:pStyle w:val="ConsPlusNormal"/>
        <w:bidi w:val="0"/>
        <w:ind w:left="0" w:right="0" w:hanging="0"/>
        <w:jc w:val="center"/>
        <w:rPr/>
      </w:pPr>
      <w:r>
        <w:rPr>
          <w:rFonts w:ascii="Times New Roman" w:hAnsi="Times New Roman"/>
          <w:b/>
          <w:sz w:val="28"/>
          <w:szCs w:val="28"/>
        </w:rPr>
        <w:t>В РАМКАХ ПРОВЕДЕНИЯ ПУБЛИЧНЫХ КОНСУЛЬТАЦИЙ</w:t>
      </w:r>
    </w:p>
    <w:p>
      <w:pPr>
        <w:pStyle w:val="ConsPlusNormal"/>
        <w:tabs>
          <w:tab w:val="clear" w:pos="720"/>
          <w:tab w:val="left" w:pos="5400" w:leader="none"/>
          <w:tab w:val="left" w:pos="5441" w:leader="none"/>
          <w:tab w:val="left" w:pos="5741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tabs>
          <w:tab w:val="clear" w:pos="720"/>
          <w:tab w:val="left" w:pos="5400" w:leader="none"/>
          <w:tab w:val="left" w:pos="5441" w:leader="none"/>
          <w:tab w:val="left" w:pos="5741" w:leader="none"/>
        </w:tabs>
        <w:bidi w:val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 xml:space="preserve">1. Краткое описание предлагаемого правового регулирования в части наличия положений, устанавливающих или изменяющих требования, которые связаны с осуществлением предпринимательской и иной экономической деятельности, оценка соблюдения которых осуществляется в рамках государственного контроля (надзора), привлечения к административной ответственности, предоставления лицензий и иных разрешений, аккредитации, оценки соответствия продукции, иных форм оценки и экспертизы, определенные Федеральным </w:t>
      </w:r>
      <w:hyperlink r:id="rId49">
        <w:r>
          <w:rPr>
            <w:rFonts w:ascii="Times New Roman" w:hAnsi="Times New Roman"/>
            <w:color w:val="111111"/>
            <w:sz w:val="26"/>
            <w:szCs w:val="26"/>
          </w:rPr>
          <w:t>законом</w:t>
        </w:r>
      </w:hyperlink>
      <w:r>
        <w:rPr>
          <w:rFonts w:ascii="Times New Roman" w:hAnsi="Times New Roman"/>
          <w:color w:val="111111"/>
          <w:sz w:val="26"/>
          <w:szCs w:val="26"/>
        </w:rPr>
        <w:t xml:space="preserve"> от 31 июля 2020 года № 247-ФЗ "Об обязательных требованиях в Российской Федерации" (далее - обязательные требования), изменяющих содержание прав и обязанностей субъектов предпринимательской и иной экономической деятельности, изменяющих содержание и порядок реализации полномочий органов исполнительной власти Приморского края в отношениях с субъектами предпринимательской и иной экономической деятельности.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2. Сведения о проблеме, на решение которой направлено предлагаемое правовое регулирование, оценка на соответствие принципам установления и оценки применения содержащихся в проекте НПА обязательных требований, оценка негативных эффектов, порождаемых наличием данной проблемы.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3. Сведения о целях предлагаемого правового регулирования и обоснование их соответствия действующему законодательству.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4. Оценка расходов бюджета городского округа на исполнение полномочий органов местного самоуправления городского округа края для реализации предлагаемого правового регулирования.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>
          <w:rFonts w:ascii="Times New Roman" w:hAnsi="Times New Roman"/>
          <w:color w:val="111111"/>
          <w:sz w:val="26"/>
          <w:szCs w:val="26"/>
        </w:rPr>
      </w:pPr>
      <w:r>
        <w:rPr>
          <w:rFonts w:ascii="Times New Roman" w:hAnsi="Times New Roman"/>
          <w:color w:val="111111"/>
          <w:sz w:val="26"/>
          <w:szCs w:val="26"/>
        </w:rPr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5. Описание устанавливаемых обязательных требований, обязанностей, которые предполагается возложить на субъекты предпринимательской и иной экономической деятельности предлагаемым правовым регулированием, и (или) описание предполагаемых изменений в содержании существующих обязательных требований, обязанностей указанных субъектов.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6. Сведения об устанавливаемых, или изменяемых мерах ответственности субъектов предпринимательской и иной экономической деятельности предлагаемым правовым регулированием.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7. Описание основных групп субъектов предпринимательской и иной экономической деятельности, интересы которых будут затронуты предлагаемым правовым регулированием.</w:t>
      </w:r>
    </w:p>
    <w:p>
      <w:pPr>
        <w:pStyle w:val="ConsPlusNormal"/>
        <w:bidi w:val="0"/>
        <w:spacing w:lineRule="auto" w:line="360"/>
        <w:ind w:left="0" w:right="0" w:firstLine="68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8. Оценка изменений расходов и доходов субъектов предпринимательской и иной экономической деятельности на осуществление такой деятельности, связанных с необходимостью соблюдать обязательные требования, обязанности, возлагаемые на них или изменяемые предлагаемым правовым регулированием.</w:t>
      </w:r>
    </w:p>
    <w:p>
      <w:pPr>
        <w:pStyle w:val="ConsPlusNormal"/>
        <w:bidi w:val="0"/>
        <w:spacing w:lineRule="auto" w:line="360" w:before="46" w:after="0"/>
        <w:ind w:left="0" w:right="0" w:firstLine="540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9. Оценка рисков невозможности решения проблемы предложенным способом, рисков непредвиденных негативных последствий.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10. Сведения о результатах публичных консультаций с субъектами предпринимательской и иной экономической деятельности, включая предложения о возможных выгодах и затратах предлагаемого регулирования, альтернативных способах решения проблемы и оценки последствий предлагаемого регулирования.</w:t>
      </w:r>
    </w:p>
    <w:p>
      <w:pPr>
        <w:pStyle w:val="ConsPlusNormal"/>
        <w:bidi w:val="0"/>
        <w:spacing w:lineRule="auto" w:line="360"/>
        <w:ind w:left="0" w:right="0" w:firstLine="737"/>
        <w:jc w:val="both"/>
        <w:rPr/>
      </w:pPr>
      <w:r>
        <w:rPr>
          <w:rFonts w:ascii="Times New Roman" w:hAnsi="Times New Roman"/>
          <w:color w:val="111111"/>
          <w:sz w:val="26"/>
          <w:szCs w:val="26"/>
        </w:rPr>
        <w:t>11. Иные сведения, позволяющие оценить обоснованность вводимых обязательных требований, обязанностей, запретов и ограничений для субъектов предпринимательской и иной экономической деятельности, обоснованность расходов субъектов предпринимательской и иной экономической деятельности и    бюджета городского округа, возникновению которых способствуют положения проекта НПА, поправок к проекту НПА.»</w:t>
      </w:r>
    </w:p>
    <w:p>
      <w:pPr>
        <w:pStyle w:val="ConsPlusNormal"/>
        <w:bidi w:val="0"/>
        <w:ind w:left="0" w:right="0" w:hanging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ConsPlusNormal"/>
        <w:bidi w:val="0"/>
        <w:ind w:left="0" w:right="0" w:hanging="0"/>
        <w:jc w:val="right"/>
        <w:rPr/>
      </w:pPr>
      <w:r>
        <w:rPr/>
      </w:r>
    </w:p>
    <w:sectPr>
      <w:type w:val="nextPage"/>
      <w:pgSz w:w="11906" w:h="16838"/>
      <w:pgMar w:left="1432" w:right="850" w:header="0" w:top="851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jc w:val="left"/>
      <w:textAlignment w:val="auto"/>
    </w:pPr>
    <w:rPr>
      <w:rFonts w:ascii="Liberation Serif" w:hAnsi="Liberation Serif" w:eastAsia="Courier New" w:cs="Arial"/>
      <w:color w:val="auto"/>
      <w:kern w:val="2"/>
      <w:sz w:val="24"/>
      <w:szCs w:val="24"/>
      <w:lang w:val="ru-RU" w:eastAsia="zh-CN" w:bidi="hi-IN"/>
    </w:rPr>
  </w:style>
  <w:style w:type="character" w:styleId="DefaultParagraphFont">
    <w:name w:val="Default Paragraph Font"/>
    <w:qFormat/>
    <w:rPr/>
  </w:style>
  <w:style w:type="character" w:styleId="C8edf2e5f0ede5f2f1f1fbebeae0">
    <w:name w:val="Иc8нedтf2еe5рf0нedеe5тf2-сf1сf1ыfbлebкeaаe0"/>
    <w:qFormat/>
    <w:rPr>
      <w:color w:val="000080"/>
      <w:u w:val="single"/>
      <w:lang w:val="zxx" w:eastAsia="zxx"/>
    </w:rPr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56" w:before="0" w:after="160"/>
      <w:jc w:val="left"/>
      <w:textAlignment w:val="auto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ru-RU" w:bidi="ar-SA"/>
    </w:rPr>
  </w:style>
  <w:style w:type="paragraph" w:styleId="C7e0e3eeebeee2eeea">
    <w:name w:val="Зc7аe0гe3оeeлebоeeвe2оeeкea"/>
    <w:basedOn w:val="Normal"/>
    <w:qFormat/>
    <w:pPr>
      <w:keepNext w:val="true"/>
      <w:spacing w:before="240" w:after="120"/>
    </w:pPr>
    <w:rPr>
      <w:rFonts w:ascii="Liberation Sans" w:hAnsi="Liberation Sans" w:eastAsia="Microsoft YaHei" w:cs="Times New Roman"/>
      <w:sz w:val="28"/>
      <w:szCs w:val="28"/>
    </w:rPr>
  </w:style>
  <w:style w:type="paragraph" w:styleId="Cef1edeee2edeee9f2e5eaf1f2">
    <w:name w:val="Оceсf1нedоeeвe2нedоeeйe9 тf2еe5кeaсf1тf2"/>
    <w:basedOn w:val="Normal"/>
    <w:qFormat/>
    <w:pPr>
      <w:spacing w:lineRule="auto" w:line="276" w:before="0" w:after="140"/>
    </w:pPr>
    <w:rPr/>
  </w:style>
  <w:style w:type="paragraph" w:styleId="D1efe8f1eeea">
    <w:name w:val="Сd1пefиe8сf1оeeкea"/>
    <w:basedOn w:val="Cef1edeee2edeee9f2e5eaf1f2"/>
    <w:qFormat/>
    <w:pPr>
      <w:spacing w:lineRule="auto" w:line="276" w:before="0" w:after="140"/>
    </w:pPr>
    <w:rPr/>
  </w:style>
  <w:style w:type="paragraph" w:styleId="Cde0e7e2e0ede8e5">
    <w:name w:val="Нcdаe0зe7вe2аe0нedиe8еe5"/>
    <w:basedOn w:val="Normal"/>
    <w:qFormat/>
    <w:pPr>
      <w:spacing w:before="120" w:after="120"/>
    </w:pPr>
    <w:rPr>
      <w:i/>
      <w:iCs/>
    </w:rPr>
  </w:style>
  <w:style w:type="paragraph" w:styleId="D3eae0e7e0f2e5ebfc">
    <w:name w:val="Уd3кeaаe0зe7аe0тf2еe5лebьfc"/>
    <w:basedOn w:val="Normal"/>
    <w:qFormat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Courier New" w:cs="Courier New"/>
      <w:color w:val="auto"/>
      <w:kern w:val="2"/>
      <w:sz w:val="16"/>
      <w:szCs w:val="24"/>
      <w:lang w:val="ru-RU" w:eastAsia="zh-CN" w:bidi="hi-IN"/>
    </w:rPr>
  </w:style>
  <w:style w:type="paragraph" w:styleId="ConsPlusNonformat">
    <w:name w:val="ConsPlusNonforma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4"/>
      <w:lang w:val="ru-RU" w:eastAsia="zh-CN" w:bidi="hi-IN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Courier New" w:cs="Courier New"/>
      <w:b/>
      <w:color w:val="auto"/>
      <w:kern w:val="2"/>
      <w:sz w:val="16"/>
      <w:szCs w:val="24"/>
      <w:lang w:val="ru-RU" w:eastAsia="zh-CN" w:bidi="hi-IN"/>
    </w:rPr>
  </w:style>
  <w:style w:type="paragraph" w:styleId="ConsPlusCell">
    <w:name w:val="ConsPlusCell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20"/>
      <w:szCs w:val="24"/>
      <w:lang w:val="ru-RU" w:eastAsia="zh-CN" w:bidi="hi-IN"/>
    </w:rPr>
  </w:style>
  <w:style w:type="paragraph" w:styleId="ConsPlusDocList">
    <w:name w:val="ConsPlusDocList"/>
    <w:qFormat/>
    <w:pPr>
      <w:widowControl w:val="false"/>
      <w:suppressAutoHyphens w:val="true"/>
      <w:bidi w:val="0"/>
      <w:jc w:val="left"/>
      <w:textAlignment w:val="auto"/>
    </w:pPr>
    <w:rPr>
      <w:rFonts w:ascii="Courier New" w:hAnsi="Courier New" w:eastAsia="Courier New" w:cs="Courier New"/>
      <w:color w:val="auto"/>
      <w:kern w:val="2"/>
      <w:sz w:val="16"/>
      <w:szCs w:val="24"/>
      <w:lang w:val="ru-RU" w:eastAsia="zh-CN" w:bidi="hi-IN"/>
    </w:rPr>
  </w:style>
  <w:style w:type="paragraph" w:styleId="ConsPlusTitlePage">
    <w:name w:val="ConsPlusTitlePage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Courier New" w:cs="Courier New"/>
      <w:color w:val="auto"/>
      <w:kern w:val="2"/>
      <w:sz w:val="16"/>
      <w:szCs w:val="24"/>
      <w:lang w:val="ru-RU" w:eastAsia="zh-CN" w:bidi="hi-IN"/>
    </w:rPr>
  </w:style>
  <w:style w:type="paragraph" w:styleId="ConsPlusJurTerm">
    <w:name w:val="ConsPlusJurTerm"/>
    <w:qFormat/>
    <w:pPr>
      <w:widowControl w:val="false"/>
      <w:suppressAutoHyphens w:val="true"/>
      <w:bidi w:val="0"/>
      <w:jc w:val="left"/>
      <w:textAlignment w:val="auto"/>
    </w:pPr>
    <w:rPr>
      <w:rFonts w:ascii="Tahoma" w:hAnsi="Tahoma" w:eastAsia="Courier New" w:cs="Courier New"/>
      <w:color w:val="auto"/>
      <w:kern w:val="2"/>
      <w:sz w:val="26"/>
      <w:szCs w:val="24"/>
      <w:lang w:val="ru-RU" w:eastAsia="zh-CN" w:bidi="hi-IN"/>
    </w:rPr>
  </w:style>
  <w:style w:type="paragraph" w:styleId="ConsPlusTextList">
    <w:name w:val="ConsPlusTextList"/>
    <w:qFormat/>
    <w:pPr>
      <w:widowControl w:val="false"/>
      <w:suppressAutoHyphens w:val="true"/>
      <w:bidi w:val="0"/>
      <w:jc w:val="left"/>
      <w:textAlignment w:val="auto"/>
    </w:pPr>
    <w:rPr>
      <w:rFonts w:ascii="Arial" w:hAnsi="Arial" w:eastAsia="Courier New" w:cs="Courier New"/>
      <w:color w:val="auto"/>
      <w:kern w:val="2"/>
      <w:sz w:val="20"/>
      <w:szCs w:val="24"/>
      <w:lang w:val="ru-RU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consultantplus://offline/ref=103C5555322ABE8C1BE18740909D02D9F6BAED14E425D2670B0A66BAC9B9298200FDAE6E88750B7F96B81F55B95A47CD1171fFG" TargetMode="External"/><Relationship Id="rId4" Type="http://schemas.openxmlformats.org/officeDocument/2006/relationships/hyperlink" Target="consultantplus://offline/ref=B26B39393B848397CCB269555277A7642B6DD3AF2916A7B3B78C753D606E0CE67536343182E9BED8AAB7442E464981C2D06B5F8EACE7972B7BA242CD7EI6H" TargetMode="External"/><Relationship Id="rId5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6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7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8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9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0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1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2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3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4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5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16" Type="http://schemas.openxmlformats.org/officeDocument/2006/relationships/hyperlink" Target="consultantplus://offline/ref=9C3C85D7749369BDD7853A5B95F4D318CF4FD3862C5A3EE46813743DD906EA98C656C45F8B17A1C6EAACC9496495655C9B7F0E5B448A7D95314F8B46NDo2F" TargetMode="External"/><Relationship Id="rId17" Type="http://schemas.openxmlformats.org/officeDocument/2006/relationships/hyperlink" Target="consultantplus://offline/ref=E3741F2AAE99429C90128459C3E2E2472C78A38E31F0E7A0BF3551267B969132E62308DFD0ED406E8955B2F03F7E99B2E2622843C9E0011F5727AA1228w4B" TargetMode="External"/><Relationship Id="rId18" Type="http://schemas.openxmlformats.org/officeDocument/2006/relationships/hyperlink" Target="consultantplus://offline/ref=E3741F2AAE99429C90128459C3E2E2472C78A38E31F0E7A0BF3551267B969132E62308DFD0ED406E8955B2F03C7E99B2E2622843C9E0011F5727AA1228w4B" TargetMode="External"/><Relationship Id="rId19" Type="http://schemas.openxmlformats.org/officeDocument/2006/relationships/hyperlink" Target="consultantplus://offline/ref=E3741F2AAE99429C90128459C3E2E2472C78A38E31F0E7A0BF3551267B969132E62308DFD0ED406E8955B2F03B7E99B2E2622843C9E0011F5727AA1228w4B" TargetMode="External"/><Relationship Id="rId20" Type="http://schemas.openxmlformats.org/officeDocument/2006/relationships/hyperlink" Target="consultantplus://offline/ref=E3741F2AAE99429C90128459C3E2E2472C78A38E31F0E7A0BF3551267B969132E62308DFD0ED406E8955B3F8357E99B2E2622843C9E0011F5727AA1228w4B" TargetMode="External"/><Relationship Id="rId21" Type="http://schemas.openxmlformats.org/officeDocument/2006/relationships/hyperlink" Target="consultantplus://offline/ref=E3741F2AAE99429C90128459C3E2E2472C78A38E31F0E7A0BF3551267B969132E62308DFD0ED406E8955BFF03F7E99B2E2622843C9E0011F5727AA1228w4B" TargetMode="External"/><Relationship Id="rId22" Type="http://schemas.openxmlformats.org/officeDocument/2006/relationships/hyperlink" Target="consultantplus://offline/ref=9C3C85D7749369BDD7853A5B95F4D318CF4FD3862C5A3EE46813743DD906EA98C656C45F8B17A1C6EAACC9486895655C9B7F0E5B448A7D95314F8B46NDo2F" TargetMode="External"/><Relationship Id="rId23" Type="http://schemas.openxmlformats.org/officeDocument/2006/relationships/hyperlink" Target="consultantplus://offline/ref=E3741F2AAE99429C90128459C3E2E2472C78A38E31F0E7A0BF3551267B969132E62308DFD0ED406E8955BFF03B7E99B2E2622843C9E0011F5727AA1228w4B" TargetMode="External"/><Relationship Id="rId24" Type="http://schemas.openxmlformats.org/officeDocument/2006/relationships/hyperlink" Target="consultantplus://offline/ref=E3741F2AAE99429C90128459C3E2E2472C78A38E31F0E7A0BF3551267B969132E62308DFD0ED406E8955BFF23D7E99B2E2622843C9E0011F5727AA1228w4B" TargetMode="External"/><Relationship Id="rId25" Type="http://schemas.openxmlformats.org/officeDocument/2006/relationships/hyperlink" Target="consultantplus://offline/ref=E3741F2AAE99429C90128459C3E2E2472C78A38E31F0E7A0BF3551267B969132E62308DFD0ED406E8955B3F8357E99B2E2622843C9E0011F5727AA1228w4B" TargetMode="External"/><Relationship Id="rId26" Type="http://schemas.openxmlformats.org/officeDocument/2006/relationships/hyperlink" Target="consultantplus://offline/ref=E3741F2AAE99429C90128459C3E2E2472C78A38E31F0E7A0BF3551267B969132E62308DFD0ED406E8955BFF0347E99B2E2622843C9E0011F5727AA1228w4B" TargetMode="External"/><Relationship Id="rId27" Type="http://schemas.openxmlformats.org/officeDocument/2006/relationships/hyperlink" Target="consultantplus://offline/ref=0933CBED351DED89AB2D4FE7C35D1392275A07F8D48BA5EFEC15FB9CC44DEBC9ABC14917C19F595A5CC5274161C1B4BAF844A22F331F06F494E08D74eDoDF" TargetMode="External"/><Relationship Id="rId28" Type="http://schemas.openxmlformats.org/officeDocument/2006/relationships/hyperlink" Target="consultantplus://offline/ref=E3741F2AAE99429C90128459C3E2E2472C78A38E31F0E7A0BF3551267B969132E62308DFD0ED406E8955B3F8357E99B2E2622843C9E0011F5727AA1228w4B" TargetMode="External"/><Relationship Id="rId29" Type="http://schemas.openxmlformats.org/officeDocument/2006/relationships/hyperlink" Target="consultantplus://offline/ref=E3741F2AAE99429C90128459C3E2E2472C78A38E31F0E7A0BF3551267B969132E62308DFD0ED406E8955B0F83B7E99B2E2622843C9E0011F5727AA1228w4B" TargetMode="External"/><Relationship Id="rId30" Type="http://schemas.openxmlformats.org/officeDocument/2006/relationships/hyperlink" Target="consultantplus://offline/ref=E3741F2AAE99429C90128459C3E2E2472C78A38E31F0E7A0BF3551267B969132E62308DFD0ED406E8955B0F83B7E99B2E2622843C9E0011F5727AA1228w4B" TargetMode="External"/><Relationship Id="rId31" Type="http://schemas.openxmlformats.org/officeDocument/2006/relationships/hyperlink" Target="consultantplus://offline/ref=E3741F2AAE99429C90128459C3E2E2472C78A38E31F0E7A0BF3551267B969132E62308DFD0ED406E8955B1F2397E99B2E2622843C9E0011F5727AA1228w4B" TargetMode="External"/><Relationship Id="rId32" Type="http://schemas.openxmlformats.org/officeDocument/2006/relationships/hyperlink" Target="consultantplus://offline/ref=E3741F2AAE99429C90128459C3E2E2472C78A38E31F0E7A0BF3551267B969132E62308DFD0ED406E8955B1F2387E99B2E2622843C9E0011F5727AA1228w4B" TargetMode="External"/><Relationship Id="rId33" Type="http://schemas.openxmlformats.org/officeDocument/2006/relationships/hyperlink" Target="consultantplus://offline/ref=9C3C85D7749369BDD7853A5B95F4D318CF4FD3862C5A3EE46813743DD906EA98C656C45F8B17A1C6EAACC74D6195655C9B7F0E5B448A7D95314F8B46NDo2F" TargetMode="External"/><Relationship Id="rId34" Type="http://schemas.openxmlformats.org/officeDocument/2006/relationships/hyperlink" Target="consultantplus://offline/ref=E3741F2AAE99429C90128459C3E2E2472C78A38E31F0E7A0BF3551267B969132E62308DFD0ED406E8955BFF4397E99B2E2622843C9E0011F5727AA1228w4B" TargetMode="External"/><Relationship Id="rId35" Type="http://schemas.openxmlformats.org/officeDocument/2006/relationships/hyperlink" Target="consultantplus://offline/ref=9C3C85D7749369BDD7853A5B95F4D318CF4FD3862C5A3EE46813743DD906EA98C656C45F8B17A1C6EAACC74D6395655C9B7F0E5B448A7D95314F8B46NDo2F" TargetMode="External"/><Relationship Id="rId36" Type="http://schemas.openxmlformats.org/officeDocument/2006/relationships/hyperlink" Target="consultantplus://offline/ref=9C3C85D7749369BDD7853A5B95F4D318CF4FD3862C5A3EE46813743DD906EA98C656C45F8B17A1C6EAACC74C6495655C9B7F0E5B448A7D95314F8B46NDo2F" TargetMode="External"/><Relationship Id="rId37" Type="http://schemas.openxmlformats.org/officeDocument/2006/relationships/hyperlink" Target="consultantplus://offline/ref=9C3C85D7749369BDD7853A5B95F4D318CF4FD3862C5A3EE46813743DD906EA98C656C45F8B17A1C6EAACC64A6495655C9B7F0E5B448A7D95314F8B46NDo2F" TargetMode="External"/><Relationship Id="rId38" Type="http://schemas.openxmlformats.org/officeDocument/2006/relationships/hyperlink" Target="consultantplus://offline/ref=9C3C85D7749369BDD7853A5B95F4D318CF4FD3862C5A3EE46813743DD906EA98C656C45F8B17A1C6EAACC74F6595655C9B7F0E5B448A7D95314F8B46NDo2F" TargetMode="External"/><Relationship Id="rId39" Type="http://schemas.openxmlformats.org/officeDocument/2006/relationships/hyperlink" Target="consultantplus://offline/ref=9C3C85D7749369BDD7853A5B95F4D318CF4FD3862C5A3EE1691C743DD906EA98C656C45F8B17A1C6EAACC14A6695655C9B7F0E5B448A7D95314F8B46NDo2F" TargetMode="External"/><Relationship Id="rId40" Type="http://schemas.openxmlformats.org/officeDocument/2006/relationships/hyperlink" Target="consultantplus://offline/ref=9C3C85D7749369BDD7853A5B95F4D318CF4FD3862C5A3EE46813743DD906EA98C656C45F8B17A1C6EAACC7416595655C9B7F0E5B448A7D95314F8B46NDo2F" TargetMode="External"/><Relationship Id="rId41" Type="http://schemas.openxmlformats.org/officeDocument/2006/relationships/hyperlink" Target="consultantplus://offline/ref=9C3C85D7749369BDD7853A5B95F4D318CF4FD3862C5A3EE1691C743DD906EA98C656C45F9917F9CAEAADDF496680330DDDN2o9F" TargetMode="External"/><Relationship Id="rId42" Type="http://schemas.openxmlformats.org/officeDocument/2006/relationships/hyperlink" Target="consultantplus://offline/ref=E3741F2AAE99429C90128459C3E2E2472C78A38E31F0E7A0BF3551267B969132E62308DFD0ED406E8955B1F9347E99B2E2622843C9E0011F5727AA1228w4B" TargetMode="External"/><Relationship Id="rId43" Type="http://schemas.openxmlformats.org/officeDocument/2006/relationships/hyperlink" Target="consultantplus://offline/ref=9C3C85D7749369BDD7853A5B95F4D318CF4FD3862C5A3EE46813743DD906EA98C656C45F8B17A1C6EAACC7406095655C9B7F0E5B448A7D95314F8B46NDo2F" TargetMode="External"/><Relationship Id="rId44" Type="http://schemas.openxmlformats.org/officeDocument/2006/relationships/hyperlink" Target="consultantplus://offline/ref=9C3C85D7749369BDD7853A5B95F4D318CF4FD3862C5A3EE46813743DD906EA98C656C45F8B17A1C6EAACC7406295655C9B7F0E5B448A7D95314F8B46NDo2F" TargetMode="External"/><Relationship Id="rId45" Type="http://schemas.openxmlformats.org/officeDocument/2006/relationships/hyperlink" Target="consultantplus://offline/ref=9C3C85D7749369BDD7853A5B95F4D318CF4FD3862C5A3EE46813743DD906EA98C656C45F8B17A1C6EAACC6486595655C9B7F0E5B448A7D95314F8B46NDo2F" TargetMode="External"/><Relationship Id="rId46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47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48" Type="http://schemas.openxmlformats.org/officeDocument/2006/relationships/hyperlink" Target="consultantplus://offline/ref=E95AFA1478E1FA4D03839197B4E7D8975192B6CDFE6D106A3A0EDD27757FD080102A894072DB707BF4C09D823D0FDCA8CB159AADA5874FCBF7EEEE2CU7I4H" TargetMode="External"/><Relationship Id="rId49" Type="http://schemas.openxmlformats.org/officeDocument/2006/relationships/hyperlink" Target="consultantplus://offline/ref=9C3C85D7749369BDD785245683988D17CB458983255434B03540726A8656ECCD94169A06C852B2C7ECB2C34962N9oDF" TargetMode="External"/><Relationship Id="rId50" Type="http://schemas.openxmlformats.org/officeDocument/2006/relationships/fontTable" Target="fontTable.xml"/><Relationship Id="rId5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LibreOffice/7.1.0.3$Windows_X86_64 LibreOffice_project/f6099ecf3d29644b5008cc8f48f42f4a40986e4c</Application>
  <AppVersion>15.0000</AppVersion>
  <Pages>11</Pages>
  <Words>2849</Words>
  <Characters>20917</Characters>
  <CharactersWithSpaces>24196</CharactersWithSpaces>
  <Paragraphs>132</Paragraphs>
  <Company>КонсультантПлюс Версия 4022.00.55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2023-05-31T17:08:00Z</dcterms:created>
  <dc:creator/>
  <dc:description/>
  <dc:language>ru-RU</dc:language>
  <cp:lastModifiedBy/>
  <cp:lastPrinted>2023-07-25T12:00:00Z</cp:lastPrinted>
  <dcterms:modified xsi:type="dcterms:W3CDTF">2023-07-26T11:45:00Z</dcterms:modified>
  <cp:revision>4</cp:revision>
  <dc:subject/>
  <dc:title>Постановление администрации Арсеньевского городского округа от 25.02.2022 N 109-па"О внесении изменений в постановление администрации Арсеньевского городского округа от 30 декабря 2015 года N 948-па "Об утверждении Порядка проведения оценки регулирующего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Герасимова Зоя Николаевна</vt:lpwstr>
  </property>
</Properties>
</file>