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/>
        <w:t>ДУМА АРСЕНЬЕВСКОГО ГОРОДСКОГО ОКРУГА</w:t>
      </w:r>
    </w:p>
    <w:p>
      <w:pPr>
        <w:pStyle w:val="ConsPlusTitle"/>
        <w:jc w:val="center"/>
        <w:rPr/>
      </w:pPr>
      <w:r>
        <w:rPr/>
        <w:t>ПРИМОРСКОГО КРАЯ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МУНИЦИПАЛЬНЫЙ ПРАВОВОЙ АКТ</w:t>
      </w:r>
    </w:p>
    <w:p>
      <w:pPr>
        <w:pStyle w:val="ConsPlusTitle"/>
        <w:jc w:val="center"/>
        <w:rPr/>
      </w:pPr>
      <w:r>
        <w:rPr/>
        <w:t>от 2 июля 2013 г. N 47-МПА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ПОРЯДОК</w:t>
      </w:r>
    </w:p>
    <w:p>
      <w:pPr>
        <w:pStyle w:val="ConsPlusTitle"/>
        <w:jc w:val="center"/>
        <w:rPr/>
      </w:pPr>
      <w:r>
        <w:rPr/>
        <w:t>ОПРЕДЕЛЕНИЯ ГРАНИЦ ТЕРРИТОРИЙ, ПРИЛЕГАЮЩИХ К НЕКОТОРЫМ</w:t>
      </w:r>
    </w:p>
    <w:p>
      <w:pPr>
        <w:pStyle w:val="ConsPlusTitle"/>
        <w:jc w:val="center"/>
        <w:rPr/>
      </w:pPr>
      <w:r>
        <w:rPr/>
        <w:t>ОРГАНИЗАЦИЯМ, ОБЪЕКТАМ, МЕСТАМ, НА КОТОРЫХ НЕ ДОПУСКАЕТСЯ</w:t>
      </w:r>
    </w:p>
    <w:p>
      <w:pPr>
        <w:pStyle w:val="ConsPlusTitle"/>
        <w:jc w:val="center"/>
        <w:rPr/>
      </w:pPr>
      <w:r>
        <w:rPr/>
        <w:t>РОЗНИЧНАЯ ПРОДАЖА АЛКОГОЛЬНОЙ ПРОДУКЦИИ НА ТЕРРИТОРИИ</w:t>
      </w:r>
    </w:p>
    <w:p>
      <w:pPr>
        <w:pStyle w:val="ConsPlusTitle"/>
        <w:jc w:val="center"/>
        <w:rPr/>
      </w:pPr>
      <w:r>
        <w:rPr/>
        <w:t>АРСЕНЬЕВСКОГО ГОРОДСКОГО ОКРУГА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Принят</w:t>
      </w:r>
    </w:p>
    <w:p>
      <w:pPr>
        <w:pStyle w:val="ConsPlusNormal"/>
        <w:jc w:val="right"/>
        <w:rPr/>
      </w:pPr>
      <w:r>
        <w:rPr/>
        <w:t>Думой Арсеньевского</w:t>
      </w:r>
    </w:p>
    <w:p>
      <w:pPr>
        <w:pStyle w:val="ConsPlusNormal"/>
        <w:jc w:val="right"/>
        <w:rPr/>
      </w:pPr>
      <w:r>
        <w:rPr/>
        <w:t>городского округа</w:t>
      </w:r>
    </w:p>
    <w:p>
      <w:pPr>
        <w:pStyle w:val="ConsPlusNormal"/>
        <w:jc w:val="right"/>
        <w:rPr/>
      </w:pPr>
      <w:r>
        <w:rPr/>
        <w:t>26 июня 2013 года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color="auto" w:fill="F4F3F8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(в ред. Муниципальных правовых актов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Думы Арсеньевского городского округа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03.12.2013 </w:t>
            </w:r>
            <w:hyperlink r:id="rId3">
              <w:r>
                <w:rPr>
                  <w:color w:val="0000FF"/>
                </w:rPr>
                <w:t>N 123-МПА</w:t>
              </w:r>
            </w:hyperlink>
            <w:r>
              <w:rPr>
                <w:color w:val="392C69"/>
              </w:rPr>
              <w:t xml:space="preserve">, от 04.02.2014 </w:t>
            </w:r>
            <w:hyperlink r:id="rId4">
              <w:r>
                <w:rPr>
                  <w:color w:val="0000FF"/>
                </w:rPr>
                <w:t>N 137-МПА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30.06.2014 </w:t>
            </w:r>
            <w:hyperlink r:id="rId5">
              <w:r>
                <w:rPr>
                  <w:color w:val="0000FF"/>
                </w:rPr>
                <w:t>N 175-МПА</w:t>
              </w:r>
            </w:hyperlink>
            <w:r>
              <w:rPr>
                <w:color w:val="392C69"/>
              </w:rPr>
              <w:t xml:space="preserve">, от 03.08.2015 </w:t>
            </w:r>
            <w:hyperlink r:id="rId6">
              <w:r>
                <w:rPr>
                  <w:color w:val="0000FF"/>
                </w:rPr>
                <w:t>N 274-МПА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/>
        <w:t>1.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1.1. Настоящий порядок разработан на основании </w:t>
      </w:r>
      <w:hyperlink r:id="rId7">
        <w:r>
          <w:rPr>
            <w:color w:val="0000FF"/>
          </w:rPr>
          <w:t>Постановления</w:t>
        </w:r>
      </w:hyperlink>
      <w:r>
        <w:rPr/>
        <w:t xml:space="preserve"> Правительства РФ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постановлений администрации Приморского края: от 29 декабря 2012 года </w:t>
      </w:r>
      <w:hyperlink r:id="rId8">
        <w:r>
          <w:rPr>
            <w:color w:val="0000FF"/>
          </w:rPr>
          <w:t>N 455-па</w:t>
        </w:r>
      </w:hyperlink>
      <w:r>
        <w:rPr/>
        <w:t xml:space="preserve"> "О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Приморского края и их предельной заполняемости", от 1 октября 2014 года </w:t>
      </w:r>
      <w:hyperlink r:id="rId9">
        <w:r>
          <w:rPr>
            <w:color w:val="0000FF"/>
          </w:rPr>
          <w:t>N 391-па</w:t>
        </w:r>
      </w:hyperlink>
      <w:r>
        <w:rPr/>
        <w:t xml:space="preserve"> "Об определении на территории Приморского края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продукции", в целях установления единого механизма определения границ прилегающих территорий к организациям, объектам, территориям, указанным в </w:t>
      </w:r>
      <w:hyperlink w:anchor="P52">
        <w:r>
          <w:rPr>
            <w:color w:val="0000FF"/>
          </w:rPr>
          <w:t>п. 2</w:t>
        </w:r>
      </w:hyperlink>
      <w:r>
        <w:rPr/>
        <w:t xml:space="preserve"> порядка, на которых запрещается реализация алкогольной продукции на территории Арсеньевского городского округа (далее - Порядок).</w:t>
      </w:r>
    </w:p>
    <w:p>
      <w:pPr>
        <w:pStyle w:val="ConsPlusNormal"/>
        <w:jc w:val="both"/>
        <w:rPr/>
      </w:pPr>
      <w:r>
        <w:rPr/>
        <w:t xml:space="preserve">(пп. 1.1. в ред. Муниципального правового </w:t>
      </w:r>
      <w:hyperlink r:id="rId10">
        <w:r>
          <w:rPr>
            <w:color w:val="0000FF"/>
          </w:rPr>
          <w:t>акта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1.2. Розничная продажа алкогольной продукции не допускается на территориях, прилегающих: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 детским, образовательным, медицинским организациям и объектам спорта;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 оптовым и розничным рынкам, вокзалам, аэропортам;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 объектам военного назначения;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 местам массового скопления граждан и местам нахождения источников повышенной опасности.</w:t>
      </w:r>
    </w:p>
    <w:p>
      <w:pPr>
        <w:pStyle w:val="ConsPlusNormal"/>
        <w:jc w:val="both"/>
        <w:rPr/>
      </w:pPr>
      <w:r>
        <w:rPr/>
        <w:t xml:space="preserve">(пп. 1.2 в ред. Муниципального правового </w:t>
      </w:r>
      <w:hyperlink r:id="rId11">
        <w:r>
          <w:rPr>
            <w:color w:val="0000FF"/>
          </w:rPr>
          <w:t>акта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1.3. Основные понятия: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детские организации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</w:t>
      </w:r>
      <w:hyperlink r:id="rId12">
        <w:r>
          <w:rPr>
            <w:color w:val="0000FF"/>
          </w:rPr>
          <w:t>80.1</w:t>
        </w:r>
      </w:hyperlink>
      <w:r>
        <w:rPr/>
        <w:t>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образовательные организации - организации, определенные в соответствии с </w:t>
      </w:r>
      <w:hyperlink r:id="rId13">
        <w:r>
          <w:rPr>
            <w:color w:val="0000FF"/>
          </w:rPr>
          <w:t>Законом</w:t>
        </w:r>
      </w:hyperlink>
      <w:r>
        <w:rPr/>
        <w:t xml:space="preserve"> Российской Федерации "Об образовании" и имеющие лицензию на осуществление образовательной деятельности;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медицинские организации - юридические лица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К медицинским организациям приравниваются индивидуальные предприниматели, осуществляющие медицинскую деятельность на основании лицензии. При этом к медицинским организациям не относятся фармацевтические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розничные рынки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Реестр розничных рынков по городу Арсеньеву утвержден </w:t>
      </w:r>
      <w:hyperlink r:id="rId14">
        <w:r>
          <w:rPr>
            <w:color w:val="0000FF"/>
          </w:rPr>
          <w:t>постановлением</w:t>
        </w:r>
      </w:hyperlink>
      <w:r>
        <w:rPr/>
        <w:t xml:space="preserve"> администрации Приморского края от 04.06.2007 N 128-па;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прилегающая территория - включает обособленную территорию (при наличии таковой), а также территорию, определенную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</w:t>
      </w:r>
      <w:hyperlink w:anchor="P52">
        <w:r>
          <w:rPr>
            <w:color w:val="0000FF"/>
          </w:rPr>
          <w:t>п. 2</w:t>
        </w:r>
      </w:hyperlink>
      <w:r>
        <w:rPr/>
        <w:t xml:space="preserve"> Порядка;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настоящего Порядка;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объект общественного питания - объект (стационарный или нестационарный) по оказанию услуг общественного питания, в котором осуществляется розничная продажа алкогольной продукции (в том числе пива и пивных напитков);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места массового скопления граждан - территории, расположенные за пределами зданий (строений, сооружений), определенные как места проведения публичных мероприятий, организуемых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rPr/>
        <w:t xml:space="preserve"> от 19 июня 2004 года N 54-ФЗ "О собраниях, митингах, демонстрациях, шествиях и пикетированиях" и указанные в </w:t>
      </w:r>
      <w:hyperlink r:id="rId16">
        <w:r>
          <w:rPr>
            <w:color w:val="0000FF"/>
          </w:rPr>
          <w:t>постановлении</w:t>
        </w:r>
      </w:hyperlink>
      <w:r>
        <w:rPr/>
        <w:t xml:space="preserve"> Администрации Приморского края от 29 декабря 2012 года N 455-па "О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Приморского края и их предельной заполняемости" в дни проведения в таких местах публичных мероприятий с заявленной численностью участников не менее 100 человек, а также территории, расположенные за пределами зданий (строений, сооружений), вне мест, указанных в </w:t>
      </w:r>
      <w:hyperlink r:id="rId17">
        <w:r>
          <w:rPr>
            <w:color w:val="0000FF"/>
          </w:rPr>
          <w:t>постановлении</w:t>
        </w:r>
      </w:hyperlink>
      <w:r>
        <w:rPr/>
        <w:t xml:space="preserve"> Администрации Приморского края N 455-па, в дни проведения на таких территориях публичных мероприятий, организуемых в соответствии с </w:t>
      </w:r>
      <w:hyperlink r:id="rId18">
        <w:r>
          <w:rPr>
            <w:color w:val="0000FF"/>
          </w:rPr>
          <w:t>пунктом 2.1 статьи 8</w:t>
        </w:r>
      </w:hyperlink>
      <w:r>
        <w:rPr/>
        <w:t xml:space="preserve"> Федерального закона N 54-ФЗ, с заявленной численностью участников не менее 100 человек;</w:t>
      </w:r>
    </w:p>
    <w:p>
      <w:pPr>
        <w:pStyle w:val="ConsPlusNormal"/>
        <w:jc w:val="both"/>
        <w:rPr/>
      </w:pPr>
      <w:r>
        <w:rPr/>
        <w:t xml:space="preserve">(абзац введен Муниципальным правовым </w:t>
      </w:r>
      <w:hyperlink r:id="rId19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места нахождения источников повышенной опасности - территории, расположенные в границах опасных производственных объектов, для которых предусмотрена обязательная разработка декларации промышленной безопасности в порядке, установленном Федеральным </w:t>
      </w:r>
      <w:hyperlink r:id="rId20">
        <w:r>
          <w:rPr>
            <w:color w:val="0000FF"/>
          </w:rPr>
          <w:t>законом</w:t>
        </w:r>
      </w:hyperlink>
      <w:r>
        <w:rPr/>
        <w:t xml:space="preserve"> от 21 июля 1997 года N 116-ФЗ "О промышленной безопасности опасных производственных объектов";</w:t>
      </w:r>
    </w:p>
    <w:p>
      <w:pPr>
        <w:pStyle w:val="ConsPlusNormal"/>
        <w:jc w:val="both"/>
        <w:rPr/>
      </w:pPr>
      <w:r>
        <w:rPr/>
        <w:t xml:space="preserve">(абзац введен Муниципальным правовым </w:t>
      </w:r>
      <w:hyperlink r:id="rId21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обособленная территория мест массового скопления граждан и мест нахождения источников повышенной опасности - места массового скопления граждан и нахождения источников повышенной опасности, границы которых обозначены ограждением (объектами искусственного происхождения);</w:t>
      </w:r>
    </w:p>
    <w:p>
      <w:pPr>
        <w:pStyle w:val="ConsPlusNormal"/>
        <w:jc w:val="both"/>
        <w:rPr/>
      </w:pPr>
      <w:r>
        <w:rPr/>
        <w:t xml:space="preserve">(абзац введен Муниципальным правовым </w:t>
      </w:r>
      <w:hyperlink r:id="rId22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граница места массового скопления граждан и места нахождения источников повышенной опасности - граница земельного участка, определенного как место проведения публичного мероприятия или закрепленного, за объектом нахождения источника повышенной опасности.</w:t>
      </w:r>
    </w:p>
    <w:p>
      <w:pPr>
        <w:pStyle w:val="ConsPlusNormal"/>
        <w:jc w:val="both"/>
        <w:rPr/>
      </w:pPr>
      <w:r>
        <w:rPr/>
        <w:t xml:space="preserve">(абзац введен Муниципальным правовым </w:t>
      </w:r>
      <w:hyperlink r:id="rId23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bookmarkStart w:id="0" w:name="P52"/>
      <w:bookmarkEnd w:id="0"/>
      <w:r>
        <w:rPr/>
        <w:t>2. Размер прилегающей территории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Размер прилегающей территории, на которой не допускается розничная продажа алкогольной продукции, устанавливается следующий: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2.1.1. Для детских организаций: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50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100 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2.1.2. Для образовательных организаций: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50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100 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2.1.2.1. Автошкол: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20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40 м.</w:t>
      </w:r>
    </w:p>
    <w:p>
      <w:pPr>
        <w:pStyle w:val="ConsPlusNormal"/>
        <w:jc w:val="both"/>
        <w:rPr/>
      </w:pPr>
      <w:r>
        <w:rPr/>
        <w:t xml:space="preserve">(пп. 2.1.2.1 введен Муниципальным правовым </w:t>
      </w:r>
      <w:hyperlink r:id="rId24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30.06.2014 N 175-МПА)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2.1.3. Для медицинских организаций: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2.1.3.1. Частных: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5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15 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2.1.3.2. Бюджетных: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40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80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кабинетов врачебной практики - не менее 20 м.</w:t>
      </w:r>
    </w:p>
    <w:p>
      <w:pPr>
        <w:pStyle w:val="ConsPlusNormal"/>
        <w:jc w:val="both"/>
        <w:rPr/>
      </w:pPr>
      <w:r>
        <w:rPr/>
        <w:t xml:space="preserve">(абзац "в" введен Муниципальным правовым </w:t>
      </w:r>
      <w:hyperlink r:id="rId25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04.02.2014 N 137-МПА)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2.1.4. Для объектов спорта: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40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80 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2.1.5. Для объектов военного назначения: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50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100 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2.1.6. Для оптовых, розничных рынков: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25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50 м.</w:t>
      </w:r>
    </w:p>
    <w:p>
      <w:pPr>
        <w:pStyle w:val="ConsPlusNormal"/>
        <w:jc w:val="both"/>
        <w:rPr/>
      </w:pPr>
      <w:r>
        <w:rPr/>
        <w:t xml:space="preserve">(пп. 2.1.6 в ред. Муниципального правового </w:t>
      </w:r>
      <w:hyperlink r:id="rId26">
        <w:r>
          <w:rPr>
            <w:color w:val="0000FF"/>
          </w:rPr>
          <w:t>акта</w:t>
        </w:r>
      </w:hyperlink>
      <w:r>
        <w:rPr/>
        <w:t xml:space="preserve"> Думы Арсеньевского городского округа от 03.12.2013 N 123-МПА)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2.1.7. Для вокзалов, аэропортов: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50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100 м.</w:t>
      </w:r>
    </w:p>
    <w:p>
      <w:pPr>
        <w:pStyle w:val="ConsPlusNormal"/>
        <w:jc w:val="both"/>
        <w:rPr/>
      </w:pPr>
      <w:r>
        <w:rPr/>
        <w:t xml:space="preserve">(пп. 2.1.7 введен Муниципальным правовым </w:t>
      </w:r>
      <w:hyperlink r:id="rId27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03.12.2013 N 123-МПА)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2.1.8. Для мест массового скопления граждан и мест нахождения источников повышенной опасности: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 наличии обособленной территории - не менее 50 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отсутствии обособленной территории - не менее 100 м.</w:t>
      </w:r>
    </w:p>
    <w:p>
      <w:pPr>
        <w:pStyle w:val="ConsPlusNormal"/>
        <w:jc w:val="both"/>
        <w:rPr/>
      </w:pPr>
      <w:r>
        <w:rPr/>
        <w:t xml:space="preserve">(пп. 2.1.8 введен Муниципальным правовым </w:t>
      </w:r>
      <w:hyperlink r:id="rId28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 На территориях, прилегающих к детским, образовательным, медицинским организациям, объектам спорта и военного назначения действует полный запрет на розничную продажу алкогольной продукции в торговых объектах и розничную продажу алкогольной продукции при оказании услуг общественного питания.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На территориях, прилегающих к оптовым, розничным рынкам, вокзалам, местам массового скопления граждан и местам нахождения источников повышенной опасности, допускается розничная продажа алкогольный продукции с содержанием этилового спирта не более чем 16,5 процента объема готовой продукции, осуществляемая организациями, и розничная продажа пива и пивных напитков, сидра, пуаре, медовухи, осуществляемая индивидуальными предпринимателями,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>
      <w:pPr>
        <w:pStyle w:val="ConsPlusNormal"/>
        <w:jc w:val="both"/>
        <w:rPr/>
      </w:pPr>
      <w:r>
        <w:rPr/>
        <w:t xml:space="preserve">(в ред. Муниципального правового </w:t>
      </w:r>
      <w:hyperlink r:id="rId29">
        <w:r>
          <w:rPr>
            <w:color w:val="0000FF"/>
          </w:rPr>
          <w:t>акта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/>
        <w:t>3. Способ расчета расстояний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3.1. Способ расчета расстояния от организаций и (или) объектов, указанных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до границ прилегающих территорий, на которых не допускается реализация алкогольной продукции, определяется по радиусу (кратчайшему расстоянию по прямой):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3.1.1.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до входа для посетителей в стационарный торговый объект (объект общественного питания), осуществляющий розничную продажу алкогольной продукции;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3.1.2. При наличии обособленной территории - от входа для посетителей на обособленную территорию организации и (или) объекта, указанных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до входа для посетителей в стационарный торговый объект (объект общественного питания), осуществляющий розничную продажу алкогольной продукции.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3.2. При определении протяженности прилегающих территорий расстояние измеряется путем замера радиуса окружности с центром радиуса в месте входа для посетителей в здание (строение, сооружение), в котором расположены организации и (или) объекты, указанные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либо на их обособленную территорию.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 (в т.ч. с обособленной территорией).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3.3. Исключен. - Муниципальный правовой </w:t>
      </w:r>
      <w:hyperlink r:id="rId30">
        <w:r>
          <w:rPr>
            <w:color w:val="0000FF"/>
          </w:rPr>
          <w:t>акт</w:t>
        </w:r>
      </w:hyperlink>
      <w:r>
        <w:rPr/>
        <w:t xml:space="preserve"> Думы Арсеньевского городского округа от 30.06.2014 N 175-МПА.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Способ расчета расстояния до границ территорий, прилегающих к местам массового скопления граждан и местам нахождения источников повышенной опасности, на которых не допускается розничная продажа алкогольной продукции, определяется с учетом сложившейся системы дорог, тротуаров, пешеходных путей, путем замера расстояния по пешеходному пути: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3.3.1. При отсутствии обособленной территории - от границы места массового скопления граждан или места нахождения источника повышенной опасности до входа для посетителей в стационарный торговый объект или объект общественного питания.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3.3.2. При наличии обособленной территории - от входа для посетителей на обособленную территорию мест массового скопления граждан или мест нахождения источников повышенной опасности до входа для посетителей в стационарный торговый объект (объект общественного питания), осуществляющий розничную продажу алкогольной продукции.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наличии нескольких входов на обособленную территорию расчет проводится от каждого входа на территорию.</w:t>
      </w:r>
    </w:p>
    <w:p>
      <w:pPr>
        <w:pStyle w:val="ConsPlusNormal"/>
        <w:jc w:val="both"/>
        <w:rPr/>
      </w:pPr>
      <w:r>
        <w:rPr/>
        <w:t xml:space="preserve">(пп. 3.3 введен Муниципальным правовым </w:t>
      </w:r>
      <w:hyperlink r:id="rId31">
        <w:r>
          <w:rPr>
            <w:color w:val="0000FF"/>
          </w:rPr>
          <w:t>актом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/>
        <w:t>4. Механизм реализации Порядка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4.1. Перечень организаций, объектов, мест, указанных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а также схемы границ прилегающих к ним территорий, на которых не допускается розничная продажа алкогольной продукции, утверждаются постановлением администрации Арсеньевского городского округа (далее - Постановление).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На схеме отмечается организация, объект, место, указанные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а также прилегающая к нему территория, на которой не допускается розничная продажа алкогольной продукции. При этом схема соотносится с местностью (на ней указываются наименования улиц и номера домов, примыкающих к организации или объекту).</w:t>
      </w:r>
    </w:p>
    <w:p>
      <w:pPr>
        <w:pStyle w:val="ConsPlusNormal"/>
        <w:jc w:val="both"/>
        <w:rPr/>
      </w:pPr>
      <w:r>
        <w:rPr/>
        <w:t xml:space="preserve">(пп. 4.1 в ред. Муниципального правового </w:t>
      </w:r>
      <w:hyperlink r:id="rId32">
        <w:r>
          <w:rPr>
            <w:color w:val="0000FF"/>
          </w:rPr>
          <w:t>акта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4.2. При размещении, утверждении новых организаций, объектов, мест, перечисленных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схемы границ прилегающих к ним территорий, на которых не допускается розничная реализация алкогольной продукции, определяется администрацией городского округа в срок не более двух месяцев с момента уведомления администрации городского округа.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месте массового скопления граждан, указанного в </w:t>
      </w:r>
      <w:hyperlink w:anchor="P52">
        <w:r>
          <w:rPr>
            <w:color w:val="0000FF"/>
          </w:rPr>
          <w:t>пункте 2</w:t>
        </w:r>
      </w:hyperlink>
      <w:r>
        <w:rPr/>
        <w:t xml:space="preserve"> Порядка, где предполагается проведение публичного мероприятия, не позднее, чем за два дня до дня проведения публичного мероприятия администрация Арсеньевского городского округа извещает находящиеся в месте его проведения и на прилегающей к такому месту территории организации, осуществляющие розничную продажу алкогольной продукции, посредством направления уведомления о месте, времени, целях, формах и иных условиях проведения публичного мероприятия заказным почтовым отправлением с уведомлением о вручении или иным доступным способом.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Период времени, в течение которого не допускается розничная продажа алкогольной продукции в месте, указанном в настоящем пункте, начинается за два часа до начала публичного мероприятия и заканчивается через один час после окончания публичного мероприятия.</w:t>
      </w:r>
    </w:p>
    <w:p>
      <w:pPr>
        <w:pStyle w:val="ConsPlusNormal"/>
        <w:jc w:val="both"/>
        <w:rPr/>
      </w:pPr>
      <w:r>
        <w:rPr/>
        <w:t xml:space="preserve">(пп. 4.2 в ред. Муниципального правового </w:t>
      </w:r>
      <w:hyperlink r:id="rId33">
        <w:r>
          <w:rPr>
            <w:color w:val="0000FF"/>
          </w:rPr>
          <w:t>акта</w:t>
        </w:r>
      </w:hyperlink>
      <w:r>
        <w:rPr/>
        <w:t xml:space="preserve"> Думы Арсеньевского городского округа от 03.08.2015 N 274-МПА)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4.3. Администрация Арсеньевского городского округа не позднее 1 месяца со дня принятия Постановления направляет информацию о принятых решениях в Департамент лицензирования и торговли Приморского края, осуществляющий лицензирование розничной продажи алкогольной продукции.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4.4. При возникновении спорных вопросов по определению границ прилегающих территорий к организациям (или) объектам, на которых не допускается розничная продажа алкогольной продукции, следует руководствоваться кадастровым планом земельного участка.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/>
      </w:pPr>
      <w:r>
        <w:rPr/>
        <w:t>5. Вступление в силу муниципального правового акта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Настоящий муниципальный правовой акт вступает в силу со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Глава городского округа</w:t>
      </w:r>
    </w:p>
    <w:p>
      <w:pPr>
        <w:pStyle w:val="ConsPlusNormal"/>
        <w:jc w:val="right"/>
        <w:rPr/>
      </w:pPr>
      <w:r>
        <w:rPr/>
        <w:t>А.А.ДРОНИН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79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76c6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d76c6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d76c6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5689D7D866923443E45B8A01EF1A481AA213DFF6354A19F7B5E61D4C4BE44ECBE106B82DAEEE3448F1ECA88820867C7A830F517249EF4EA05D1A10UBsFI" TargetMode="External"/><Relationship Id="rId4" Type="http://schemas.openxmlformats.org/officeDocument/2006/relationships/hyperlink" Target="consultantplus://offline/ref=5689D7D866923443E45B8A01EF1A481AA213DFF634401FFDB2E61D4C4BE44ECBE106B82DAEEE3448F1ECA88820867C7A830F517249EF4EA05D1A10UBsFI" TargetMode="External"/><Relationship Id="rId5" Type="http://schemas.openxmlformats.org/officeDocument/2006/relationships/hyperlink" Target="consultantplus://offline/ref=5689D7D866923443E45B8A01EF1A481AA213DFF6344B1DF1B5E61D4C4BE44ECBE106B82DAEEE3448F1ECA88820867C7A830F517249EF4EA05D1A10UBsFI" TargetMode="External"/><Relationship Id="rId6" Type="http://schemas.openxmlformats.org/officeDocument/2006/relationships/hyperlink" Target="consultantplus://offline/ref=5689D7D866923443E45B8A01EF1A481AA213DFF63B4417F4B3E61D4C4BE44ECBE106B82DAEEE3448F1ECA88820867C7A830F517249EF4EA05D1A10UBsFI" TargetMode="External"/><Relationship Id="rId7" Type="http://schemas.openxmlformats.org/officeDocument/2006/relationships/hyperlink" Target="consultantplus://offline/ref=5689D7D866923443E45B940CF9761615A31C81FD374314A2E9B946111CED449CB449B963EBE52B48F5F2AA8D2AUDsBI" TargetMode="External"/><Relationship Id="rId8" Type="http://schemas.openxmlformats.org/officeDocument/2006/relationships/hyperlink" Target="consultantplus://offline/ref=5689D7D866923443E45B8A01EF1A481AA213DFF632421AF5B2EA404643BD42C9E609E73ABBA76045F0EAB68D2FCC2F3ED7U0sBI" TargetMode="External"/><Relationship Id="rId9" Type="http://schemas.openxmlformats.org/officeDocument/2006/relationships/hyperlink" Target="consultantplus://offline/ref=5689D7D866923443E45B8A01EF1A481AA213DFF634461CF0B1E61D4C4BE44ECBE106B83FAEB63849F7F2A88935D02D3FUDsFI" TargetMode="External"/><Relationship Id="rId10" Type="http://schemas.openxmlformats.org/officeDocument/2006/relationships/hyperlink" Target="consultantplus://offline/ref=5689D7D866923443E45B8A01EF1A481AA213DFF63B4417F4B3E61D4C4BE44ECBE106B82DAEEE3448F1ECA88420867C7A830F517249EF4EA05D1A10UBsFI" TargetMode="External"/><Relationship Id="rId11" Type="http://schemas.openxmlformats.org/officeDocument/2006/relationships/hyperlink" Target="consultantplus://offline/ref=5689D7D866923443E45B8A01EF1A481AA213DFF63B4417F4B3E61D4C4BE44ECBE106B82DAEEE3448F1ECA98C20867C7A830F517249EF4EA05D1A10UBsFI" TargetMode="External"/><Relationship Id="rId12" Type="http://schemas.openxmlformats.org/officeDocument/2006/relationships/hyperlink" Target="consultantplus://offline/ref=5689D7D866923443E45B940CF9761615A31C85FA304B14A2E9B946111CED449CA649E16FEAE33D4EF7E7FCDC6F87203FD01C507049ED4ABFU5s6I" TargetMode="External"/><Relationship Id="rId13" Type="http://schemas.openxmlformats.org/officeDocument/2006/relationships/hyperlink" Target="consultantplus://offline/ref=5689D7D866923443E45B940CF9761615A11988FD354B14A2E9B946111CED449CB449B963EBE52B48F5F2AA8D2AUDsBI" TargetMode="External"/><Relationship Id="rId14" Type="http://schemas.openxmlformats.org/officeDocument/2006/relationships/hyperlink" Target="consultantplus://offline/ref=5689D7D866923443E45B8A01EF1A481AA213DFF6324119F4B6EE404643BD42C9E609E73ABBA76045F0EAB68D2FCC2F3ED7U0sBI" TargetMode="External"/><Relationship Id="rId15" Type="http://schemas.openxmlformats.org/officeDocument/2006/relationships/hyperlink" Target="consultantplus://offline/ref=5689D7D866923443E45B940CF9761615A11889F3314714A2E9B946111CED449CB449B963EBE52B48F5F2AA8D2AUDsBI" TargetMode="External"/><Relationship Id="rId16" Type="http://schemas.openxmlformats.org/officeDocument/2006/relationships/hyperlink" Target="consultantplus://offline/ref=5689D7D866923443E45B8A01EF1A481AA213DFF632421AF5B2EA404643BD42C9E609E73ABBA76045F0EAB68D2FCC2F3ED7U0sBI" TargetMode="External"/><Relationship Id="rId17" Type="http://schemas.openxmlformats.org/officeDocument/2006/relationships/hyperlink" Target="consultantplus://offline/ref=5689D7D866923443E45B8A01EF1A481AA213DFF632421AF5B2EA404643BD42C9E609E73ABBA76045F0EAB68D2FCC2F3ED7U0sBI" TargetMode="External"/><Relationship Id="rId18" Type="http://schemas.openxmlformats.org/officeDocument/2006/relationships/hyperlink" Target="consultantplus://offline/ref=5689D7D866923443E45B940CF9761615A11889F3314714A2E9B946111CED449CA649E16FEAE3344EF6E7FCDC6F87203FD01C507049ED4ABFU5s6I" TargetMode="External"/><Relationship Id="rId19" Type="http://schemas.openxmlformats.org/officeDocument/2006/relationships/hyperlink" Target="consultantplus://offline/ref=5689D7D866923443E45B8A01EF1A481AA213DFF63B4417F4B3E61D4C4BE44ECBE106B82DAEEE3448F1ECA98B20867C7A830F517249EF4EA05D1A10UBsFI" TargetMode="External"/><Relationship Id="rId20" Type="http://schemas.openxmlformats.org/officeDocument/2006/relationships/hyperlink" Target="consultantplus://offline/ref=5689D7D866923443E45B940CF9761615A11882FD304B14A2E9B946111CED449CB449B963EBE52B48F5F2AA8D2AUDsBI" TargetMode="External"/><Relationship Id="rId21" Type="http://schemas.openxmlformats.org/officeDocument/2006/relationships/hyperlink" Target="consultantplus://offline/ref=5689D7D866923443E45B8A01EF1A481AA213DFF63B4417F4B3E61D4C4BE44ECBE106B82DAEEE3448F1ECA98520867C7A830F517249EF4EA05D1A10UBsFI" TargetMode="External"/><Relationship Id="rId22" Type="http://schemas.openxmlformats.org/officeDocument/2006/relationships/hyperlink" Target="consultantplus://offline/ref=5689D7D866923443E45B8A01EF1A481AA213DFF63B4417F4B3E61D4C4BE44ECBE106B82DAEEE3448F1ECA98420867C7A830F517249EF4EA05D1A10UBsFI" TargetMode="External"/><Relationship Id="rId23" Type="http://schemas.openxmlformats.org/officeDocument/2006/relationships/hyperlink" Target="consultantplus://offline/ref=5689D7D866923443E45B8A01EF1A481AA213DFF63B4417F4B3E61D4C4BE44ECBE106B82DAEEE3448F1ECAA8D20867C7A830F517249EF4EA05D1A10UBsFI" TargetMode="External"/><Relationship Id="rId24" Type="http://schemas.openxmlformats.org/officeDocument/2006/relationships/hyperlink" Target="consultantplus://offline/ref=5689D7D866923443E45B8A01EF1A481AA213DFF6344B1DF1B5E61D4C4BE44ECBE106B82DAEEE3448F1ECA88B20867C7A830F517249EF4EA05D1A10UBsFI" TargetMode="External"/><Relationship Id="rId25" Type="http://schemas.openxmlformats.org/officeDocument/2006/relationships/hyperlink" Target="consultantplus://offline/ref=5689D7D866923443E45B8A01EF1A481AA213DFF634401FFDB2E61D4C4BE44ECBE106B82DAEEE3448F1ECA88B20867C7A830F517249EF4EA05D1A10UBsFI" TargetMode="External"/><Relationship Id="rId26" Type="http://schemas.openxmlformats.org/officeDocument/2006/relationships/hyperlink" Target="consultantplus://offline/ref=5689D7D866923443E45B8A01EF1A481AA213DFF6354A19F7B5E61D4C4BE44ECBE106B82DAEEE3448F1ECA88A20867C7A830F517249EF4EA05D1A10UBsFI" TargetMode="External"/><Relationship Id="rId27" Type="http://schemas.openxmlformats.org/officeDocument/2006/relationships/hyperlink" Target="consultantplus://offline/ref=5689D7D866923443E45B8A01EF1A481AA213DFF6354A19F7B5E61D4C4BE44ECBE106B82DAEEE3448F1ECA98C20867C7A830F517249EF4EA05D1A10UBsFI" TargetMode="External"/><Relationship Id="rId28" Type="http://schemas.openxmlformats.org/officeDocument/2006/relationships/hyperlink" Target="consultantplus://offline/ref=5689D7D866923443E45B8A01EF1A481AA213DFF63B4417F4B3E61D4C4BE44ECBE106B82DAEEE3448F1ECAA8F20867C7A830F517249EF4EA05D1A10UBsFI" TargetMode="External"/><Relationship Id="rId29" Type="http://schemas.openxmlformats.org/officeDocument/2006/relationships/hyperlink" Target="consultantplus://offline/ref=5689D7D866923443E45B8A01EF1A481AA213DFF63B4417F4B3E61D4C4BE44ECBE106B82DAEEE3448F1ECAA8B20867C7A830F517249EF4EA05D1A10UBsFI" TargetMode="External"/><Relationship Id="rId30" Type="http://schemas.openxmlformats.org/officeDocument/2006/relationships/hyperlink" Target="consultantplus://offline/ref=5689D7D866923443E45B8A01EF1A481AA213DFF6344B1DF1B5E61D4C4BE44ECBE106B82DAEEE3448F1ECA98D20867C7A830F517249EF4EA05D1A10UBsFI" TargetMode="External"/><Relationship Id="rId31" Type="http://schemas.openxmlformats.org/officeDocument/2006/relationships/hyperlink" Target="consultantplus://offline/ref=5689D7D866923443E45B8A01EF1A481AA213DFF63B4417F4B3E61D4C4BE44ECBE106B82DAEEE3448F1ECAA8520867C7A830F517249EF4EA05D1A10UBsFI" TargetMode="External"/><Relationship Id="rId32" Type="http://schemas.openxmlformats.org/officeDocument/2006/relationships/hyperlink" Target="consultantplus://offline/ref=5689D7D866923443E45B8A01EF1A481AA213DFF63B4417F4B3E61D4C4BE44ECBE106B82DAEEE3448F1ECAB8E20867C7A830F517249EF4EA05D1A10UBsFI" TargetMode="External"/><Relationship Id="rId33" Type="http://schemas.openxmlformats.org/officeDocument/2006/relationships/hyperlink" Target="consultantplus://offline/ref=5689D7D866923443E45B8A01EF1A481AA213DFF63B4417F4B3E61D4C4BE44ECBE106B82DAEEE3448F1ECAB8B20867C7A830F517249EF4EA05D1A10UBsFI" TargetMode="Externa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7</Pages>
  <Words>2095</Words>
  <Characters>14488</Characters>
  <CharactersWithSpaces>16470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2019-10-15T08:04:00Z</dcterms:created>
  <dc:creator>Isaenko_TD</dc:creator>
  <dc:description/>
  <dc:language>ru-RU</dc:language>
  <cp:lastModifiedBy>Isaenko_TD</cp:lastModifiedBy>
  <dcterms:modified xsi:type="dcterms:W3CDTF">2019-10-15T08:04:00Z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