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0B" w:rsidRDefault="00C651B5">
      <w:pPr>
        <w:spacing w:line="1" w:lineRule="exact"/>
        <w:rPr>
          <w:sz w:val="2"/>
          <w:szCs w:val="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0</wp:posOffset>
            </wp:positionV>
            <wp:extent cx="590550" cy="7143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0B" w:rsidRDefault="009C18A9" w:rsidP="00EB26C3">
      <w:pPr>
        <w:framePr w:w="13767" w:h="7438" w:hRule="exact" w:hSpace="38" w:wrap="notBeside" w:vAnchor="text" w:hAnchor="margin" w:x="2268" w:y="1"/>
        <w:ind w:left="-1134" w:firstLine="1134"/>
        <w:rPr>
          <w:sz w:val="24"/>
          <w:szCs w:val="24"/>
        </w:rPr>
      </w:pPr>
      <w:r>
        <w:rPr>
          <w:noProof/>
        </w:rPr>
        <w:drawing>
          <wp:inline distT="0" distB="0" distL="0" distR="0" wp14:anchorId="79A9611A" wp14:editId="25E2D61D">
            <wp:extent cx="6915464" cy="4448175"/>
            <wp:effectExtent l="0" t="0" r="0" b="0"/>
            <wp:docPr id="2" name="Рисунок 2" descr="https://www.setonline.ru/upload/iblock/671/kartinka-k-novosti-pro-fg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tonline.ru/upload/iblock/671/kartinka-k-novosti-pro-fgu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703" cy="446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94" w:rsidRPr="00FA0394" w:rsidRDefault="00FA0394">
      <w:pPr>
        <w:shd w:val="clear" w:color="auto" w:fill="FFFFFF"/>
        <w:spacing w:before="5" w:line="221" w:lineRule="exact"/>
        <w:ind w:left="379"/>
        <w:jc w:val="center"/>
        <w:rPr>
          <w:lang w:val="en-US"/>
        </w:rPr>
      </w:pPr>
    </w:p>
    <w:p w:rsidR="00EB26C3" w:rsidRDefault="00EB26C3" w:rsidP="00EB26C3">
      <w:pPr>
        <w:pStyle w:val="3"/>
        <w:ind w:left="1134"/>
        <w:jc w:val="center"/>
        <w:rPr>
          <w:b/>
          <w:sz w:val="44"/>
          <w:szCs w:val="44"/>
        </w:rPr>
        <w:sectPr w:rsidR="00EB26C3" w:rsidSect="00EB26C3">
          <w:pgSz w:w="16834" w:h="11909" w:orient="landscape"/>
          <w:pgMar w:top="709" w:right="674" w:bottom="360" w:left="993" w:header="720" w:footer="720" w:gutter="0"/>
          <w:cols w:num="2" w:space="1310"/>
          <w:noEndnote/>
        </w:sectPr>
      </w:pPr>
    </w:p>
    <w:p w:rsidR="00EB26C3" w:rsidRPr="009C18A9" w:rsidRDefault="00EB26C3" w:rsidP="00EB26C3">
      <w:pPr>
        <w:pStyle w:val="3"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</w:pPr>
      <w:r w:rsidRPr="009C18A9">
        <w:rPr>
          <w:b/>
          <w:sz w:val="44"/>
          <w:szCs w:val="44"/>
        </w:rPr>
        <w:t>П</w:t>
      </w:r>
      <w:r w:rsidRPr="009C18A9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  <w:t>ошаговая инструкция участия в государственных и муниципальных закупках</w:t>
      </w:r>
    </w:p>
    <w:p w:rsidR="00EB26C3" w:rsidRDefault="001C61E4" w:rsidP="00EB26C3">
      <w:pPr>
        <w:pStyle w:val="3"/>
        <w:jc w:val="both"/>
        <w:sectPr w:rsidR="00EB26C3" w:rsidSect="00EB26C3">
          <w:type w:val="continuous"/>
          <w:pgSz w:w="16834" w:h="11909" w:orient="landscape"/>
          <w:pgMar w:top="709" w:right="674" w:bottom="360" w:left="993" w:header="720" w:footer="720" w:gutter="0"/>
          <w:cols w:space="1310"/>
          <w:noEndnote/>
        </w:sectPr>
      </w:pPr>
      <w:r w:rsidRPr="00C651B5">
        <w:br w:type="column"/>
      </w:r>
    </w:p>
    <w:p w:rsidR="003E19A1" w:rsidRDefault="001B4DEB" w:rsidP="00EB26C3">
      <w:pPr>
        <w:pStyle w:val="3"/>
        <w:jc w:val="both"/>
        <w:rPr>
          <w:rFonts w:eastAsia="Times New Roman"/>
          <w:b/>
          <w:sz w:val="26"/>
          <w:szCs w:val="26"/>
        </w:rPr>
      </w:pPr>
      <w:r w:rsidRPr="003E19A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6190615</wp:posOffset>
                </wp:positionV>
                <wp:extent cx="0" cy="243840"/>
                <wp:effectExtent l="5080" t="8890" r="13970" b="1397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6E70E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5.45pt,487.45pt" to="355.4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1C61E4" w:rsidRPr="003E19A1">
        <w:rPr>
          <w:rFonts w:eastAsia="Times New Roman"/>
          <w:b/>
          <w:sz w:val="26"/>
          <w:szCs w:val="26"/>
          <w:u w:val="single"/>
        </w:rPr>
        <w:t>Шаг 1</w:t>
      </w:r>
      <w:r w:rsidR="001C61E4" w:rsidRPr="008E6867">
        <w:rPr>
          <w:rFonts w:eastAsia="Times New Roman"/>
          <w:b/>
          <w:sz w:val="26"/>
          <w:szCs w:val="26"/>
        </w:rPr>
        <w:t xml:space="preserve">   Регистрация в Единой информационной системе</w:t>
      </w:r>
    </w:p>
    <w:p w:rsidR="00EA6948" w:rsidRPr="008E6867" w:rsidRDefault="003E19A1" w:rsidP="00EB26C3">
      <w:pPr>
        <w:pStyle w:val="3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 w:rsidR="00EA6948" w:rsidRPr="008E6867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   </w:t>
      </w:r>
      <w:hyperlink r:id="rId7" w:history="1">
        <w:r w:rsidR="00EA6948" w:rsidRPr="008E6867">
          <w:rPr>
            <w:rStyle w:val="a3"/>
            <w:rFonts w:eastAsia="Times New Roman"/>
            <w:b/>
            <w:sz w:val="26"/>
            <w:szCs w:val="26"/>
          </w:rPr>
          <w:t>http://zakupki.gov.ru</w:t>
        </w:r>
      </w:hyperlink>
    </w:p>
    <w:p w:rsidR="00FA1D0B" w:rsidRPr="00222F25" w:rsidRDefault="001C61E4" w:rsidP="00CE35AC">
      <w:pPr>
        <w:pStyle w:val="a4"/>
        <w:numPr>
          <w:ilvl w:val="0"/>
          <w:numId w:val="6"/>
        </w:numPr>
        <w:shd w:val="clear" w:color="auto" w:fill="FFFFFF"/>
        <w:spacing w:before="283" w:line="221" w:lineRule="exact"/>
        <w:ind w:left="1418" w:hanging="425"/>
        <w:rPr>
          <w:b/>
        </w:rPr>
      </w:pPr>
      <w:r w:rsidRPr="00222F25">
        <w:rPr>
          <w:rFonts w:eastAsia="Times New Roman"/>
          <w:b/>
        </w:rPr>
        <w:t>Подготовка документов</w:t>
      </w:r>
    </w:p>
    <w:p w:rsidR="00FA1D0B" w:rsidRDefault="001C61E4" w:rsidP="00222F25">
      <w:pPr>
        <w:pStyle w:val="a4"/>
        <w:numPr>
          <w:ilvl w:val="1"/>
          <w:numId w:val="4"/>
        </w:numPr>
        <w:shd w:val="clear" w:color="auto" w:fill="FFFFFF"/>
        <w:spacing w:line="221" w:lineRule="exact"/>
        <w:jc w:val="both"/>
      </w:pPr>
      <w:r w:rsidRPr="00EA6948">
        <w:rPr>
          <w:rFonts w:eastAsia="Times New Roman"/>
          <w:spacing w:val="-4"/>
        </w:rPr>
        <w:t>уставные документы;</w:t>
      </w:r>
    </w:p>
    <w:p w:rsidR="00FA1D0B" w:rsidRDefault="001C61E4" w:rsidP="00222F25">
      <w:pPr>
        <w:pStyle w:val="a4"/>
        <w:numPr>
          <w:ilvl w:val="1"/>
          <w:numId w:val="4"/>
        </w:numPr>
        <w:shd w:val="clear" w:color="auto" w:fill="FFFFFF"/>
        <w:spacing w:line="221" w:lineRule="exact"/>
        <w:jc w:val="both"/>
      </w:pPr>
      <w:r w:rsidRPr="00EA6948">
        <w:rPr>
          <w:rFonts w:eastAsia="Times New Roman"/>
          <w:spacing w:val="-4"/>
        </w:rPr>
        <w:t>документы, подтверждающие правомочия руководителя;</w:t>
      </w:r>
    </w:p>
    <w:p w:rsidR="00FA1D0B" w:rsidRDefault="001C61E4" w:rsidP="00222F25">
      <w:pPr>
        <w:pStyle w:val="a4"/>
        <w:numPr>
          <w:ilvl w:val="1"/>
          <w:numId w:val="4"/>
        </w:numPr>
        <w:shd w:val="clear" w:color="auto" w:fill="FFFFFF"/>
        <w:spacing w:line="221" w:lineRule="exact"/>
        <w:jc w:val="both"/>
      </w:pPr>
      <w:r w:rsidRPr="00EA6948">
        <w:rPr>
          <w:rFonts w:eastAsia="Times New Roman"/>
          <w:spacing w:val="-4"/>
        </w:rPr>
        <w:t>решение об одобрении крупной сделки;</w:t>
      </w:r>
    </w:p>
    <w:p w:rsidR="00FA1D0B" w:rsidRDefault="001C61E4" w:rsidP="00222F25">
      <w:pPr>
        <w:pStyle w:val="a4"/>
        <w:numPr>
          <w:ilvl w:val="1"/>
          <w:numId w:val="4"/>
        </w:numPr>
        <w:shd w:val="clear" w:color="auto" w:fill="FFFFFF"/>
        <w:spacing w:line="221" w:lineRule="exact"/>
        <w:jc w:val="both"/>
      </w:pPr>
      <w:r w:rsidRPr="00EA6948">
        <w:rPr>
          <w:rFonts w:eastAsia="Times New Roman"/>
          <w:spacing w:val="-2"/>
        </w:rPr>
        <w:t>лицензии    в   случае, если   деятельность, которую    осуществляет</w:t>
      </w:r>
      <w:r w:rsidR="00EA6948">
        <w:rPr>
          <w:rFonts w:eastAsia="Times New Roman"/>
          <w:spacing w:val="-2"/>
        </w:rPr>
        <w:t xml:space="preserve"> </w:t>
      </w:r>
      <w:r w:rsidRPr="00EA6948">
        <w:rPr>
          <w:rFonts w:eastAsia="Times New Roman"/>
          <w:spacing w:val="-4"/>
        </w:rPr>
        <w:t>организация, подлежит лицензированию;</w:t>
      </w:r>
    </w:p>
    <w:p w:rsidR="00FA1D0B" w:rsidRDefault="001C61E4" w:rsidP="00222F25">
      <w:pPr>
        <w:pStyle w:val="a4"/>
        <w:numPr>
          <w:ilvl w:val="1"/>
          <w:numId w:val="4"/>
        </w:numPr>
        <w:shd w:val="clear" w:color="auto" w:fill="FFFFFF"/>
        <w:spacing w:before="5" w:line="221" w:lineRule="exact"/>
        <w:jc w:val="both"/>
      </w:pPr>
      <w:r w:rsidRPr="00EA6948">
        <w:rPr>
          <w:rFonts w:eastAsia="Times New Roman"/>
          <w:spacing w:val="-2"/>
        </w:rPr>
        <w:t>свидетельство СРО, если, в соответствии с законодательством, участие</w:t>
      </w:r>
      <w:r w:rsidR="00EA6948">
        <w:rPr>
          <w:rFonts w:eastAsia="Times New Roman"/>
          <w:spacing w:val="-2"/>
        </w:rPr>
        <w:t xml:space="preserve"> </w:t>
      </w:r>
      <w:r w:rsidRPr="00EA6948">
        <w:rPr>
          <w:rFonts w:eastAsia="Times New Roman"/>
          <w:spacing w:val="-4"/>
        </w:rPr>
        <w:t>в СРО является для организации обязательным.</w:t>
      </w:r>
    </w:p>
    <w:p w:rsidR="00FA1D0B" w:rsidRDefault="001C61E4" w:rsidP="00CE35AC">
      <w:pPr>
        <w:pStyle w:val="a4"/>
        <w:numPr>
          <w:ilvl w:val="0"/>
          <w:numId w:val="7"/>
        </w:numPr>
        <w:shd w:val="clear" w:color="auto" w:fill="FFFFFF"/>
        <w:spacing w:line="221" w:lineRule="exact"/>
        <w:ind w:left="1418" w:hanging="425"/>
        <w:jc w:val="both"/>
      </w:pPr>
      <w:r w:rsidRPr="00222F25">
        <w:rPr>
          <w:rFonts w:eastAsia="Times New Roman"/>
          <w:b/>
          <w:bCs/>
          <w:spacing w:val="-4"/>
        </w:rPr>
        <w:t>Оформление ЭГТ</w:t>
      </w:r>
    </w:p>
    <w:p w:rsidR="00EA6948" w:rsidRPr="00222F25" w:rsidRDefault="001C61E4" w:rsidP="00222F25">
      <w:pPr>
        <w:pStyle w:val="a4"/>
        <w:numPr>
          <w:ilvl w:val="0"/>
          <w:numId w:val="5"/>
        </w:numPr>
        <w:shd w:val="clear" w:color="auto" w:fill="FFFFFF"/>
        <w:tabs>
          <w:tab w:val="left" w:pos="1418"/>
        </w:tabs>
        <w:spacing w:line="221" w:lineRule="exact"/>
        <w:ind w:left="970" w:firstLine="164"/>
        <w:jc w:val="both"/>
        <w:rPr>
          <w:rFonts w:eastAsia="Times New Roman"/>
          <w:spacing w:val="-8"/>
        </w:rPr>
      </w:pPr>
      <w:r w:rsidRPr="00222F25">
        <w:rPr>
          <w:rFonts w:eastAsia="Times New Roman"/>
          <w:spacing w:val="-2"/>
        </w:rPr>
        <w:t>Электронную   подпись (ЭП) выдают   специальные   организации</w:t>
      </w:r>
      <w:r w:rsidR="00222F25">
        <w:rPr>
          <w:rFonts w:eastAsia="Times New Roman"/>
          <w:spacing w:val="-2"/>
        </w:rPr>
        <w:t>-</w:t>
      </w:r>
      <w:r w:rsidRPr="00222F25">
        <w:rPr>
          <w:rFonts w:eastAsia="Times New Roman"/>
          <w:spacing w:val="-4"/>
        </w:rPr>
        <w:t xml:space="preserve">удостоверяющие центры, аккредитованные </w:t>
      </w:r>
      <w:proofErr w:type="spellStart"/>
      <w:r w:rsidRPr="00222F25">
        <w:rPr>
          <w:rFonts w:eastAsia="Times New Roman"/>
          <w:spacing w:val="-4"/>
        </w:rPr>
        <w:t>Минкомсвязью</w:t>
      </w:r>
      <w:proofErr w:type="spellEnd"/>
      <w:r w:rsidRPr="00222F25">
        <w:rPr>
          <w:rFonts w:eastAsia="Times New Roman"/>
          <w:spacing w:val="-4"/>
        </w:rPr>
        <w:t>.</w:t>
      </w:r>
      <w:r w:rsidR="00222F25">
        <w:rPr>
          <w:rFonts w:eastAsia="Times New Roman"/>
          <w:spacing w:val="-4"/>
        </w:rPr>
        <w:t xml:space="preserve"> </w:t>
      </w:r>
      <w:r w:rsidRPr="00222F25">
        <w:rPr>
          <w:rFonts w:eastAsia="Times New Roman"/>
          <w:spacing w:val="-8"/>
        </w:rPr>
        <w:t>Перечень которых размещен на сайте</w:t>
      </w:r>
      <w:r w:rsidR="00EA6948" w:rsidRPr="00222F25">
        <w:rPr>
          <w:rFonts w:eastAsia="Times New Roman"/>
          <w:spacing w:val="-8"/>
        </w:rPr>
        <w:t xml:space="preserve">  </w:t>
      </w:r>
      <w:hyperlink r:id="rId8" w:history="1">
        <w:r w:rsidR="00EA6948" w:rsidRPr="00222F25">
          <w:rPr>
            <w:rStyle w:val="a3"/>
            <w:rFonts w:eastAsia="Times New Roman"/>
            <w:spacing w:val="-8"/>
          </w:rPr>
          <w:t>http://digital.gov.ru</w:t>
        </w:r>
      </w:hyperlink>
    </w:p>
    <w:p w:rsidR="00FA1D0B" w:rsidRDefault="001C61E4" w:rsidP="00440563">
      <w:pPr>
        <w:pStyle w:val="a4"/>
        <w:numPr>
          <w:ilvl w:val="0"/>
          <w:numId w:val="8"/>
        </w:numPr>
        <w:shd w:val="clear" w:color="auto" w:fill="FFFFFF"/>
        <w:spacing w:line="221" w:lineRule="exact"/>
        <w:ind w:left="1418" w:hanging="425"/>
      </w:pPr>
      <w:r w:rsidRPr="00222F25">
        <w:rPr>
          <w:rFonts w:eastAsia="Times New Roman"/>
          <w:b/>
          <w:bCs/>
          <w:spacing w:val="-1"/>
        </w:rPr>
        <w:t>Регистрация в ЕИС</w:t>
      </w:r>
    </w:p>
    <w:p w:rsidR="00FA1D0B" w:rsidRDefault="001C61E4">
      <w:pPr>
        <w:shd w:val="clear" w:color="auto" w:fill="FFFFFF"/>
        <w:spacing w:line="221" w:lineRule="exact"/>
        <w:ind w:left="965"/>
      </w:pPr>
      <w:r>
        <w:rPr>
          <w:rFonts w:eastAsia="Times New Roman"/>
        </w:rPr>
        <w:t>Автоматическая аккредитация на торговых площадках: АО «ЕЭТП»,</w:t>
      </w:r>
    </w:p>
    <w:p w:rsidR="00FA1D0B" w:rsidRDefault="001C61E4">
      <w:pPr>
        <w:shd w:val="clear" w:color="auto" w:fill="FFFFFF"/>
        <w:spacing w:line="221" w:lineRule="exact"/>
        <w:ind w:left="965"/>
      </w:pPr>
      <w:r>
        <w:rPr>
          <w:rFonts w:eastAsia="Times New Roman"/>
          <w:spacing w:val="-3"/>
        </w:rPr>
        <w:t>РТС-тендер, ЗАО «Сбербанк-АСТ», АГЗРТ, АО «РАД», ЭТП НЭП,</w:t>
      </w:r>
    </w:p>
    <w:p w:rsidR="00FA1D0B" w:rsidRDefault="001C61E4" w:rsidP="00EB26C3">
      <w:pPr>
        <w:shd w:val="clear" w:color="auto" w:fill="FFFFFF"/>
        <w:spacing w:line="360" w:lineRule="auto"/>
        <w:ind w:left="965"/>
      </w:pPr>
      <w:r>
        <w:rPr>
          <w:rFonts w:eastAsia="Times New Roman"/>
        </w:rPr>
        <w:t>ЭТП</w:t>
      </w:r>
      <w:r w:rsidR="00222F25">
        <w:rPr>
          <w:rFonts w:eastAsia="Times New Roman"/>
        </w:rPr>
        <w:t xml:space="preserve"> </w:t>
      </w:r>
      <w:r>
        <w:rPr>
          <w:rFonts w:eastAsia="Times New Roman"/>
        </w:rPr>
        <w:t>«ГПБ», ТЭК-Торг</w:t>
      </w:r>
    </w:p>
    <w:p w:rsidR="00FA1D0B" w:rsidRPr="008E6867" w:rsidRDefault="001C61E4" w:rsidP="00EB26C3">
      <w:pPr>
        <w:shd w:val="clear" w:color="auto" w:fill="FFFFFF"/>
        <w:spacing w:line="360" w:lineRule="auto"/>
        <w:ind w:left="19"/>
        <w:rPr>
          <w:b/>
        </w:rPr>
      </w:pPr>
      <w:r w:rsidRPr="003E19A1">
        <w:rPr>
          <w:rFonts w:eastAsia="Times New Roman"/>
          <w:b/>
          <w:sz w:val="26"/>
          <w:szCs w:val="26"/>
          <w:u w:val="single"/>
        </w:rPr>
        <w:t>Шаг 2</w:t>
      </w:r>
      <w:r w:rsidRPr="008E6867">
        <w:rPr>
          <w:rFonts w:eastAsia="Times New Roman"/>
          <w:b/>
          <w:sz w:val="26"/>
          <w:szCs w:val="26"/>
        </w:rPr>
        <w:t xml:space="preserve">    Поиск торгов и изучение документации</w:t>
      </w:r>
    </w:p>
    <w:p w:rsidR="00FA1D0B" w:rsidRDefault="001C61E4" w:rsidP="00CE35AC">
      <w:pPr>
        <w:pStyle w:val="a4"/>
        <w:numPr>
          <w:ilvl w:val="1"/>
          <w:numId w:val="10"/>
        </w:numPr>
        <w:shd w:val="clear" w:color="auto" w:fill="FFFFFF"/>
        <w:spacing w:before="216" w:line="221" w:lineRule="exact"/>
        <w:ind w:right="24"/>
        <w:jc w:val="both"/>
      </w:pPr>
      <w:r w:rsidRPr="00CE35AC">
        <w:rPr>
          <w:rFonts w:eastAsia="Times New Roman"/>
          <w:spacing w:val="-4"/>
        </w:rPr>
        <w:t xml:space="preserve">Федеральный закон от 05.04.2013 № 44-ФЗ "О контрактной системе в </w:t>
      </w:r>
      <w:r w:rsidRPr="00CE35AC">
        <w:rPr>
          <w:rFonts w:eastAsia="Times New Roman"/>
        </w:rPr>
        <w:t>сфере закупок товаров, работ, услуг для обеспечения государственных и муниципальных нужд"</w:t>
      </w:r>
    </w:p>
    <w:p w:rsidR="00FA1D0B" w:rsidRDefault="001C61E4" w:rsidP="00CE35AC">
      <w:pPr>
        <w:pStyle w:val="a4"/>
        <w:numPr>
          <w:ilvl w:val="1"/>
          <w:numId w:val="10"/>
        </w:numPr>
        <w:shd w:val="clear" w:color="auto" w:fill="FFFFFF"/>
        <w:spacing w:line="221" w:lineRule="exact"/>
        <w:ind w:right="24"/>
        <w:jc w:val="both"/>
      </w:pPr>
      <w:r w:rsidRPr="00CE35AC">
        <w:rPr>
          <w:rFonts w:eastAsia="Times New Roman"/>
        </w:rPr>
        <w:t xml:space="preserve">Федеральный закон от 18.07.2011 № 223-ФЗ "О закупках товаров, </w:t>
      </w:r>
      <w:r w:rsidRPr="00CE35AC">
        <w:rPr>
          <w:rFonts w:eastAsia="Times New Roman"/>
          <w:spacing w:val="-4"/>
        </w:rPr>
        <w:t>работ, услуг отдельными видами юридических лиц"</w:t>
      </w:r>
    </w:p>
    <w:p w:rsidR="00FA1D0B" w:rsidRPr="008E6867" w:rsidRDefault="001C61E4">
      <w:pPr>
        <w:shd w:val="clear" w:color="auto" w:fill="FFFFFF"/>
        <w:spacing w:before="403"/>
        <w:ind w:left="10"/>
        <w:rPr>
          <w:b/>
        </w:rPr>
      </w:pPr>
      <w:r w:rsidRPr="003E19A1">
        <w:rPr>
          <w:rFonts w:eastAsia="Times New Roman"/>
          <w:b/>
          <w:sz w:val="26"/>
          <w:szCs w:val="26"/>
          <w:u w:val="single"/>
        </w:rPr>
        <w:t>Шаг 3</w:t>
      </w:r>
      <w:r w:rsidRPr="008E6867">
        <w:rPr>
          <w:rFonts w:eastAsia="Times New Roman"/>
          <w:b/>
          <w:sz w:val="26"/>
          <w:szCs w:val="26"/>
        </w:rPr>
        <w:t xml:space="preserve">    Открытие </w:t>
      </w:r>
      <w:proofErr w:type="spellStart"/>
      <w:r w:rsidRPr="008E6867">
        <w:rPr>
          <w:rFonts w:eastAsia="Times New Roman"/>
          <w:b/>
          <w:sz w:val="26"/>
          <w:szCs w:val="26"/>
        </w:rPr>
        <w:t>спецсчета</w:t>
      </w:r>
      <w:proofErr w:type="spellEnd"/>
      <w:r w:rsidR="008E6867">
        <w:rPr>
          <w:rFonts w:eastAsia="Times New Roman"/>
          <w:b/>
          <w:sz w:val="26"/>
          <w:szCs w:val="26"/>
        </w:rPr>
        <w:t>.</w:t>
      </w:r>
    </w:p>
    <w:p w:rsidR="00FA1D0B" w:rsidRDefault="001C61E4" w:rsidP="008E6867">
      <w:pPr>
        <w:shd w:val="clear" w:color="auto" w:fill="FFFFFF"/>
        <w:spacing w:before="240" w:line="221" w:lineRule="exact"/>
        <w:ind w:left="936" w:right="29"/>
        <w:jc w:val="both"/>
      </w:pPr>
      <w:r>
        <w:rPr>
          <w:rFonts w:eastAsia="Times New Roman"/>
          <w:spacing w:val="-2"/>
        </w:rPr>
        <w:t xml:space="preserve">Необходимо открыть отдельный счет в банке, на котором находятся </w:t>
      </w:r>
      <w:r>
        <w:rPr>
          <w:rFonts w:eastAsia="Times New Roman"/>
          <w:spacing w:val="-4"/>
        </w:rPr>
        <w:t xml:space="preserve">деньги для обеспечения заявки, а также с него будет списываться плата, </w:t>
      </w:r>
      <w:r>
        <w:rPr>
          <w:rFonts w:eastAsia="Times New Roman"/>
          <w:spacing w:val="-2"/>
        </w:rPr>
        <w:t xml:space="preserve">которую поставщик обязан заплатить за подписание контракта. </w:t>
      </w:r>
      <w:r>
        <w:rPr>
          <w:rFonts w:eastAsia="Times New Roman"/>
          <w:spacing w:val="-3"/>
        </w:rPr>
        <w:t xml:space="preserve">Распоряжением Правительства РФ № 1451-р от 13.07.2018 утвержден </w:t>
      </w:r>
      <w:r>
        <w:rPr>
          <w:rFonts w:eastAsia="Times New Roman"/>
        </w:rPr>
        <w:t xml:space="preserve">перечень банков, где можно открыть </w:t>
      </w:r>
      <w:proofErr w:type="spellStart"/>
      <w:r>
        <w:rPr>
          <w:rFonts w:eastAsia="Times New Roman"/>
        </w:rPr>
        <w:t>спецсчет</w:t>
      </w:r>
      <w:proofErr w:type="spellEnd"/>
      <w:r>
        <w:rPr>
          <w:rFonts w:eastAsia="Times New Roman"/>
        </w:rPr>
        <w:t>.</w:t>
      </w:r>
    </w:p>
    <w:p w:rsidR="00FA1D0B" w:rsidRPr="008E6867" w:rsidRDefault="001C61E4">
      <w:pPr>
        <w:shd w:val="clear" w:color="auto" w:fill="FFFFFF"/>
        <w:spacing w:before="384"/>
        <w:rPr>
          <w:b/>
        </w:rPr>
      </w:pPr>
      <w:r w:rsidRPr="003E19A1">
        <w:rPr>
          <w:rFonts w:eastAsia="Times New Roman"/>
          <w:b/>
          <w:sz w:val="26"/>
          <w:szCs w:val="26"/>
          <w:u w:val="single"/>
        </w:rPr>
        <w:t>Шаг 4</w:t>
      </w:r>
      <w:r w:rsidRPr="008E6867">
        <w:rPr>
          <w:rFonts w:eastAsia="Times New Roman"/>
          <w:b/>
          <w:sz w:val="26"/>
          <w:szCs w:val="26"/>
        </w:rPr>
        <w:t xml:space="preserve">   Подготовка и подача заявки для участия</w:t>
      </w:r>
    </w:p>
    <w:p w:rsidR="00FA1D0B" w:rsidRDefault="001C61E4" w:rsidP="00902350">
      <w:pPr>
        <w:shd w:val="clear" w:color="auto" w:fill="FFFFFF"/>
        <w:spacing w:line="226" w:lineRule="exact"/>
        <w:ind w:left="931"/>
        <w:jc w:val="both"/>
      </w:pPr>
      <w:r>
        <w:rPr>
          <w:rFonts w:eastAsia="Times New Roman"/>
          <w:spacing w:val="-4"/>
        </w:rPr>
        <w:t xml:space="preserve">Заявка участника — это комплект документов, составленный в полном </w:t>
      </w:r>
      <w:r>
        <w:rPr>
          <w:rFonts w:eastAsia="Times New Roman"/>
          <w:spacing w:val="-3"/>
        </w:rPr>
        <w:t>соответствии с требованиями документации о закупке.</w:t>
      </w:r>
    </w:p>
    <w:p w:rsidR="00FA1D0B" w:rsidRDefault="001C61E4" w:rsidP="00902350">
      <w:pPr>
        <w:shd w:val="clear" w:color="auto" w:fill="FFFFFF"/>
        <w:spacing w:before="134" w:line="221" w:lineRule="exact"/>
        <w:ind w:left="922"/>
        <w:jc w:val="both"/>
      </w:pPr>
      <w:r>
        <w:rPr>
          <w:rFonts w:eastAsia="Times New Roman"/>
          <w:spacing w:val="-4"/>
        </w:rPr>
        <w:t xml:space="preserve">Документы должны быть заверены уполномоченным лицом участника </w:t>
      </w:r>
      <w:r>
        <w:rPr>
          <w:rFonts w:eastAsia="Times New Roman"/>
          <w:spacing w:val="-3"/>
        </w:rPr>
        <w:t>и содержать достоверную информацию. Заявка на участие подается в электронном виде посредством торговой площадки.</w:t>
      </w:r>
    </w:p>
    <w:p w:rsidR="00FA1D0B" w:rsidRPr="008E6867" w:rsidRDefault="001C61E4" w:rsidP="00CE35AC">
      <w:pPr>
        <w:shd w:val="clear" w:color="auto" w:fill="FFFFFF"/>
        <w:tabs>
          <w:tab w:val="right" w:pos="2694"/>
        </w:tabs>
        <w:spacing w:before="91"/>
        <w:ind w:left="130"/>
        <w:rPr>
          <w:b/>
        </w:rPr>
      </w:pPr>
      <w:r w:rsidRPr="003E19A1">
        <w:rPr>
          <w:rFonts w:eastAsia="Times New Roman"/>
          <w:b/>
          <w:sz w:val="26"/>
          <w:szCs w:val="26"/>
          <w:u w:val="single"/>
        </w:rPr>
        <w:t>Шаг 5</w:t>
      </w:r>
      <w:r w:rsidRPr="008E6867">
        <w:rPr>
          <w:rFonts w:eastAsia="Times New Roman"/>
          <w:b/>
          <w:sz w:val="26"/>
          <w:szCs w:val="26"/>
        </w:rPr>
        <w:t xml:space="preserve">    Принять учас</w:t>
      </w:r>
      <w:r w:rsidR="00A973D3" w:rsidRPr="008E6867">
        <w:rPr>
          <w:rFonts w:eastAsia="Times New Roman"/>
          <w:b/>
          <w:sz w:val="26"/>
          <w:szCs w:val="26"/>
        </w:rPr>
        <w:t>тие в торгах. Выиграть!</w:t>
      </w:r>
    </w:p>
    <w:p w:rsidR="00FA1D0B" w:rsidRDefault="001C61E4" w:rsidP="003E19A1">
      <w:pPr>
        <w:shd w:val="clear" w:color="auto" w:fill="FFFFFF"/>
        <w:tabs>
          <w:tab w:val="left" w:pos="2644"/>
        </w:tabs>
        <w:spacing w:before="211" w:line="221" w:lineRule="exact"/>
        <w:ind w:left="284" w:right="53"/>
        <w:jc w:val="both"/>
      </w:pPr>
      <w:r>
        <w:rPr>
          <w:rFonts w:eastAsia="Times New Roman"/>
          <w:spacing w:val="-3"/>
        </w:rPr>
        <w:t>Оперативно подго</w:t>
      </w:r>
      <w:r w:rsidR="00A973D3">
        <w:rPr>
          <w:rFonts w:eastAsia="Times New Roman"/>
          <w:spacing w:val="-3"/>
        </w:rPr>
        <w:t>товить обеспечение исполнения контракта в виде</w:t>
      </w:r>
      <w:r>
        <w:rPr>
          <w:rFonts w:eastAsia="Times New Roman"/>
          <w:spacing w:val="-3"/>
        </w:rPr>
        <w:t xml:space="preserve"> банковской гарант</w:t>
      </w:r>
      <w:r w:rsidR="00A973D3">
        <w:rPr>
          <w:rFonts w:eastAsia="Times New Roman"/>
          <w:spacing w:val="-3"/>
        </w:rPr>
        <w:t>ии, в соответствии со ст.45 Закона 44-ФЗ, либо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4"/>
        </w:rPr>
        <w:t>перечислить денеж</w:t>
      </w:r>
      <w:r w:rsidR="00A973D3">
        <w:rPr>
          <w:rFonts w:eastAsia="Times New Roman"/>
          <w:spacing w:val="-4"/>
        </w:rPr>
        <w:t>ные средства на счет заказчика.</w:t>
      </w:r>
    </w:p>
    <w:p w:rsidR="00A973D3" w:rsidRPr="008E6867" w:rsidRDefault="001C61E4" w:rsidP="008E6867">
      <w:pPr>
        <w:shd w:val="clear" w:color="auto" w:fill="FFFFFF"/>
        <w:spacing w:before="240" w:line="276" w:lineRule="auto"/>
        <w:ind w:left="125"/>
        <w:rPr>
          <w:rFonts w:eastAsia="Times New Roman"/>
          <w:b/>
          <w:spacing w:val="-2"/>
          <w:sz w:val="26"/>
          <w:szCs w:val="26"/>
        </w:rPr>
      </w:pPr>
      <w:bookmarkStart w:id="0" w:name="_GoBack"/>
      <w:r w:rsidRPr="003E19A1">
        <w:rPr>
          <w:rFonts w:eastAsia="Times New Roman"/>
          <w:b/>
          <w:spacing w:val="-2"/>
          <w:sz w:val="26"/>
          <w:szCs w:val="26"/>
          <w:u w:val="single"/>
        </w:rPr>
        <w:t>Шаг 6</w:t>
      </w:r>
      <w:bookmarkEnd w:id="0"/>
      <w:r w:rsidRPr="008E6867">
        <w:rPr>
          <w:rFonts w:eastAsia="Times New Roman"/>
          <w:b/>
          <w:spacing w:val="-2"/>
          <w:sz w:val="26"/>
          <w:szCs w:val="26"/>
        </w:rPr>
        <w:t xml:space="preserve">    Подписание к</w:t>
      </w:r>
      <w:r w:rsidR="00A973D3" w:rsidRPr="008E6867">
        <w:rPr>
          <w:rFonts w:eastAsia="Times New Roman"/>
          <w:b/>
          <w:spacing w:val="-2"/>
          <w:sz w:val="26"/>
          <w:szCs w:val="26"/>
        </w:rPr>
        <w:t xml:space="preserve">онтракта                                  </w:t>
      </w:r>
    </w:p>
    <w:p w:rsidR="008E6867" w:rsidRDefault="001C61E4" w:rsidP="003E19A1">
      <w:pPr>
        <w:shd w:val="clear" w:color="auto" w:fill="FFFFFF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Заказчик должен </w:t>
      </w:r>
      <w:r w:rsidR="00337A13">
        <w:rPr>
          <w:rFonts w:eastAsia="Times New Roman"/>
        </w:rPr>
        <w:t>направить проект контракта. У победителей есть 5</w:t>
      </w:r>
      <w:r>
        <w:rPr>
          <w:rFonts w:eastAsia="Times New Roman"/>
        </w:rPr>
        <w:t>дней, чтобы озна</w:t>
      </w:r>
      <w:r w:rsidR="00337A13">
        <w:rPr>
          <w:rFonts w:eastAsia="Times New Roman"/>
        </w:rPr>
        <w:t>комиться с проектом и подписать его. Обратите внимание на разделы: сроки исполнения, сроки оплаты, штрафные санкции.</w:t>
      </w:r>
    </w:p>
    <w:p w:rsidR="003E19A1" w:rsidRDefault="003E19A1" w:rsidP="003E19A1">
      <w:pPr>
        <w:shd w:val="clear" w:color="auto" w:fill="FFFFFF"/>
        <w:ind w:left="284"/>
        <w:jc w:val="both"/>
        <w:rPr>
          <w:rFonts w:eastAsia="Times New Roman"/>
        </w:rPr>
      </w:pPr>
    </w:p>
    <w:p w:rsidR="003E19A1" w:rsidRDefault="003E19A1" w:rsidP="00902350">
      <w:pPr>
        <w:shd w:val="clear" w:color="auto" w:fill="FFFFFF"/>
        <w:ind w:left="1134"/>
        <w:jc w:val="both"/>
        <w:rPr>
          <w:rFonts w:eastAsia="Times New Roman"/>
        </w:rPr>
      </w:pPr>
    </w:p>
    <w:p w:rsidR="003E19A1" w:rsidRDefault="003E19A1" w:rsidP="00902350">
      <w:pPr>
        <w:shd w:val="clear" w:color="auto" w:fill="FFFFFF"/>
        <w:ind w:left="1134"/>
        <w:jc w:val="both"/>
        <w:rPr>
          <w:rFonts w:eastAsia="Times New Roman"/>
        </w:rPr>
      </w:pPr>
    </w:p>
    <w:p w:rsidR="00FA1D0B" w:rsidRPr="003E19A1" w:rsidRDefault="00472391" w:rsidP="008E6867">
      <w:pPr>
        <w:shd w:val="clear" w:color="auto" w:fill="FFFFFF"/>
        <w:spacing w:before="240"/>
        <w:ind w:left="125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4"/>
          <w:sz w:val="22"/>
          <w:szCs w:val="22"/>
        </w:rPr>
        <w:t xml:space="preserve">ПЕРЕЧЕНЬ БАНКОВ, НА СПЕЦИАЛЬНЫЕ СЧЕТА КОТОРЫХ </w:t>
      </w:r>
      <w:r w:rsidRPr="003E19A1">
        <w:rPr>
          <w:rFonts w:eastAsia="Times New Roman"/>
          <w:b/>
          <w:bCs/>
          <w:spacing w:val="-8"/>
          <w:sz w:val="22"/>
          <w:szCs w:val="22"/>
        </w:rPr>
        <w:t xml:space="preserve">ВНОСЯТСЯ ДЕНЕЖНЫЕСРЕДСТВА УЧАСТНИКАМИ ЗАКУПОК, </w:t>
      </w:r>
      <w:r w:rsidRPr="003E19A1">
        <w:rPr>
          <w:rFonts w:eastAsia="Times New Roman"/>
          <w:b/>
          <w:bCs/>
          <w:spacing w:val="-7"/>
          <w:sz w:val="22"/>
          <w:szCs w:val="22"/>
        </w:rPr>
        <w:t>ПРЕДНАЗНАЧЕННЫЕ ДЛЯ ОБЕСПЕЧЕНИЯ ЗАЯВОК</w:t>
      </w:r>
    </w:p>
    <w:p w:rsidR="00FA1D0B" w:rsidRDefault="001C61E4" w:rsidP="008E6867">
      <w:pPr>
        <w:shd w:val="clear" w:color="auto" w:fill="FFFFFF"/>
        <w:spacing w:line="221" w:lineRule="exact"/>
        <w:ind w:left="370"/>
        <w:jc w:val="center"/>
        <w:rPr>
          <w:rFonts w:eastAsia="Times New Roman"/>
          <w:spacing w:val="-4"/>
        </w:rPr>
      </w:pPr>
      <w:r>
        <w:rPr>
          <w:spacing w:val="-4"/>
        </w:rPr>
        <w:t>(</w:t>
      </w:r>
      <w:r>
        <w:rPr>
          <w:rFonts w:eastAsia="Times New Roman"/>
          <w:spacing w:val="-4"/>
        </w:rPr>
        <w:t>утвержден распоряжением</w:t>
      </w:r>
      <w:r w:rsidR="00472391">
        <w:rPr>
          <w:rFonts w:eastAsia="Times New Roman"/>
          <w:spacing w:val="-4"/>
        </w:rPr>
        <w:t xml:space="preserve"> Правительства РФ от 13 июля</w:t>
      </w:r>
      <w:r w:rsidR="00902350">
        <w:rPr>
          <w:rFonts w:eastAsia="Times New Roman"/>
          <w:spacing w:val="-4"/>
        </w:rPr>
        <w:t xml:space="preserve"> </w:t>
      </w:r>
      <w:r w:rsidR="00472391">
        <w:rPr>
          <w:rFonts w:eastAsia="Times New Roman"/>
          <w:spacing w:val="-4"/>
        </w:rPr>
        <w:t>2018</w:t>
      </w:r>
      <w:r w:rsidR="00902350">
        <w:rPr>
          <w:rFonts w:eastAsia="Times New Roman"/>
          <w:spacing w:val="-4"/>
        </w:rPr>
        <w:t>г.</w:t>
      </w:r>
      <w:r w:rsidR="00472391">
        <w:rPr>
          <w:rFonts w:eastAsia="Times New Roman"/>
          <w:spacing w:val="-4"/>
        </w:rPr>
        <w:t xml:space="preserve"> № 1451-р)</w:t>
      </w:r>
    </w:p>
    <w:p w:rsidR="008E6867" w:rsidRDefault="008E6867" w:rsidP="008E6867">
      <w:pPr>
        <w:shd w:val="clear" w:color="auto" w:fill="FFFFFF"/>
        <w:spacing w:line="221" w:lineRule="exact"/>
        <w:ind w:left="370"/>
        <w:jc w:val="center"/>
        <w:rPr>
          <w:rFonts w:eastAsia="Times New Roman"/>
          <w:spacing w:val="-4"/>
        </w:rPr>
      </w:pP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1. Публичное акционерное общество "Сбербанк России"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2. Банк ВТБ (публичное акционерное общество)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3. "Газпромбанк" (Акционерное общество)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4. Акционерное общество "Российский Сельскохозяйственный 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5. АКЦИОНЕРНОЕ ОБЩЕСТВО "АЛЬФА-БАНК"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6. "МОСКОВСКИЙ КРЕДИТНЫЙ БАНК" (публичное акционерное общество)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7. Публичное акционерное общество Банк "Финансовая Корпорация Открытие"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8. Акционерное общество "Райффайзенбанк"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9. Публичное акционерное общество РОСБАНК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10. Акционерное общество "Всероссийский банк развития регионов"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11. Публичное акционерное общество "Промсвязьбанк"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12. Акционерное общество "Акционерный Банк "РОССИЯ"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13. ПУБЛИЧНОЕ АКЦИОНЕРНОЕ ОБЩЕСТВО "БАНК "САНКТ-ПЕТЕРБУРГ"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14. Публичное акционерное общество "</w:t>
      </w:r>
      <w:proofErr w:type="spellStart"/>
      <w:r>
        <w:t>Совкомбанк</w:t>
      </w:r>
      <w:proofErr w:type="spellEnd"/>
      <w:r>
        <w:t>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15. РОССИЙСКИЙ НАЦИОНАЛЬНЫЙ КОММЕРЧЕСКИЙ БАНК (публичное акционерное общество)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16. Акционерное общество "ОТП 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17. Акционерное общество "</w:t>
      </w:r>
      <w:proofErr w:type="spellStart"/>
      <w:r>
        <w:t>Юни</w:t>
      </w:r>
      <w:proofErr w:type="spellEnd"/>
      <w:r w:rsidR="00902350">
        <w:t xml:space="preserve"> </w:t>
      </w:r>
      <w:r>
        <w:t>Кредит 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18. Публичное акционерное общество Банк "Возрождение"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19. Акционерное общество "Тинькофф Банк"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20. Акционерный коммерческий банк "АК БАРС" (публичное акционерное общество)</w:t>
      </w:r>
    </w:p>
    <w:p w:rsidR="008E6867" w:rsidRDefault="008E6867" w:rsidP="008E6867">
      <w:pPr>
        <w:shd w:val="clear" w:color="auto" w:fill="FFFFFF"/>
        <w:spacing w:line="221" w:lineRule="exact"/>
        <w:ind w:left="370"/>
      </w:pPr>
      <w:r>
        <w:t>21. Акционерное общество Банк "Северный морской путь"</w:t>
      </w:r>
    </w:p>
    <w:p w:rsidR="00C651B5" w:rsidRDefault="008E6867" w:rsidP="008E6867">
      <w:pPr>
        <w:shd w:val="clear" w:color="auto" w:fill="FFFFFF"/>
        <w:spacing w:line="221" w:lineRule="exact"/>
        <w:ind w:left="370"/>
      </w:pPr>
      <w:r>
        <w:t>22. Акционерный Коммерческий Банк "НОВИКОМБАНК" (акционерное общество)</w:t>
      </w:r>
    </w:p>
    <w:p w:rsidR="00C651B5" w:rsidRDefault="00C651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E19A1" w:rsidRDefault="003E19A1" w:rsidP="00C651B5">
      <w:pPr>
        <w:shd w:val="clear" w:color="auto" w:fill="FFFFFF"/>
        <w:spacing w:before="773"/>
        <w:ind w:left="149"/>
        <w:jc w:val="center"/>
        <w:rPr>
          <w:rFonts w:eastAsia="Times New Roman"/>
          <w:b/>
          <w:bCs/>
        </w:rPr>
        <w:sectPr w:rsidR="003E19A1" w:rsidSect="00EB26C3">
          <w:type w:val="continuous"/>
          <w:pgSz w:w="16834" w:h="11909" w:orient="landscape"/>
          <w:pgMar w:top="567" w:right="674" w:bottom="360" w:left="993" w:header="720" w:footer="720" w:gutter="0"/>
          <w:cols w:num="2" w:space="427"/>
          <w:noEndnote/>
        </w:sectPr>
      </w:pPr>
    </w:p>
    <w:p w:rsidR="00C651B5" w:rsidRPr="003E19A1" w:rsidRDefault="00C651B5" w:rsidP="003E19A1">
      <w:pPr>
        <w:shd w:val="clear" w:color="auto" w:fill="FFFFFF"/>
        <w:spacing w:before="773"/>
        <w:ind w:left="149"/>
        <w:jc w:val="center"/>
        <w:rPr>
          <w:sz w:val="26"/>
          <w:szCs w:val="26"/>
        </w:rPr>
      </w:pPr>
      <w:r w:rsidRPr="003E19A1">
        <w:rPr>
          <w:rFonts w:eastAsia="Times New Roman"/>
          <w:b/>
          <w:bCs/>
          <w:sz w:val="26"/>
          <w:szCs w:val="26"/>
        </w:rPr>
        <w:lastRenderedPageBreak/>
        <w:t>АККРЕДИТОВАННЫЕ УДОСТОВЕРЯЮЩИЕ ЦЕНТРЫ</w:t>
      </w:r>
    </w:p>
    <w:p w:rsidR="00C651B5" w:rsidRPr="003E19A1" w:rsidRDefault="00C651B5" w:rsidP="003E19A1">
      <w:pPr>
        <w:shd w:val="clear" w:color="auto" w:fill="FFFFFF"/>
        <w:spacing w:before="226" w:line="221" w:lineRule="exact"/>
        <w:ind w:right="10"/>
        <w:jc w:val="center"/>
        <w:rPr>
          <w:b/>
          <w:sz w:val="24"/>
          <w:szCs w:val="24"/>
        </w:rPr>
      </w:pPr>
      <w:r w:rsidRPr="003E19A1">
        <w:rPr>
          <w:rFonts w:eastAsia="Times New Roman"/>
          <w:b/>
          <w:spacing w:val="-4"/>
          <w:sz w:val="24"/>
          <w:szCs w:val="24"/>
        </w:rPr>
        <w:t xml:space="preserve">Перечень аккредитованных удостоверяющих центров размещен на официальном интернет-сайте </w:t>
      </w:r>
      <w:proofErr w:type="spellStart"/>
      <w:r w:rsidRPr="003E19A1">
        <w:rPr>
          <w:rFonts w:eastAsia="Times New Roman"/>
          <w:b/>
          <w:spacing w:val="-4"/>
          <w:sz w:val="24"/>
          <w:szCs w:val="24"/>
        </w:rPr>
        <w:t>Минкомсвязи</w:t>
      </w:r>
      <w:proofErr w:type="spellEnd"/>
      <w:r w:rsidRPr="003E19A1">
        <w:rPr>
          <w:rFonts w:eastAsia="Times New Roman"/>
          <w:b/>
          <w:spacing w:val="-4"/>
          <w:sz w:val="24"/>
          <w:szCs w:val="24"/>
        </w:rPr>
        <w:t xml:space="preserve"> России и</w:t>
      </w:r>
    </w:p>
    <w:p w:rsidR="00C651B5" w:rsidRPr="003E19A1" w:rsidRDefault="00C651B5" w:rsidP="003E19A1">
      <w:pPr>
        <w:shd w:val="clear" w:color="auto" w:fill="FFFFFF"/>
        <w:spacing w:line="221" w:lineRule="exact"/>
        <w:jc w:val="center"/>
        <w:rPr>
          <w:sz w:val="24"/>
          <w:szCs w:val="24"/>
        </w:rPr>
      </w:pPr>
      <w:r w:rsidRPr="003E19A1">
        <w:rPr>
          <w:rFonts w:eastAsia="Times New Roman"/>
          <w:b/>
          <w:spacing w:val="-5"/>
          <w:sz w:val="24"/>
          <w:szCs w:val="24"/>
        </w:rPr>
        <w:t>на «Едином портале государственных и муниципальных услуг (функций</w:t>
      </w:r>
      <w:r w:rsidRPr="003E19A1">
        <w:rPr>
          <w:rFonts w:eastAsia="Times New Roman"/>
          <w:spacing w:val="-5"/>
          <w:sz w:val="24"/>
          <w:szCs w:val="24"/>
        </w:rPr>
        <w:t>)»</w:t>
      </w:r>
    </w:p>
    <w:p w:rsidR="00C651B5" w:rsidRPr="003E19A1" w:rsidRDefault="003E19A1" w:rsidP="003E19A1">
      <w:pPr>
        <w:shd w:val="clear" w:color="auto" w:fill="FFFFFF"/>
        <w:spacing w:line="221" w:lineRule="exact"/>
        <w:ind w:left="2074" w:right="2069"/>
        <w:jc w:val="center"/>
        <w:rPr>
          <w:sz w:val="22"/>
          <w:szCs w:val="22"/>
        </w:rPr>
      </w:pPr>
      <w:hyperlink r:id="rId9" w:history="1">
        <w:r w:rsidRPr="003E19A1">
          <w:rPr>
            <w:rStyle w:val="a3"/>
            <w:sz w:val="22"/>
            <w:szCs w:val="22"/>
          </w:rPr>
          <w:t>http://digital.gov.ru</w:t>
        </w:r>
      </w:hyperlink>
    </w:p>
    <w:p w:rsidR="00C651B5" w:rsidRPr="003E19A1" w:rsidRDefault="003E19A1" w:rsidP="003E19A1">
      <w:pPr>
        <w:shd w:val="clear" w:color="auto" w:fill="FFFFFF"/>
        <w:spacing w:line="221" w:lineRule="exact"/>
        <w:ind w:left="2074" w:right="2069"/>
        <w:jc w:val="center"/>
        <w:rPr>
          <w:sz w:val="22"/>
          <w:szCs w:val="22"/>
        </w:rPr>
      </w:pPr>
      <w:hyperlink r:id="rId10" w:history="1">
        <w:r w:rsidRPr="003E19A1">
          <w:rPr>
            <w:rStyle w:val="a3"/>
            <w:sz w:val="22"/>
            <w:szCs w:val="22"/>
          </w:rPr>
          <w:t>http://zakupki.gov.ru</w:t>
        </w:r>
      </w:hyperlink>
    </w:p>
    <w:p w:rsidR="003E19A1" w:rsidRDefault="003E19A1" w:rsidP="003E19A1">
      <w:pPr>
        <w:shd w:val="clear" w:color="auto" w:fill="FFFFFF"/>
        <w:spacing w:line="221" w:lineRule="exact"/>
        <w:ind w:left="2074" w:right="2069"/>
        <w:jc w:val="center"/>
      </w:pPr>
    </w:p>
    <w:p w:rsidR="00C651B5" w:rsidRPr="003E19A1" w:rsidRDefault="00C651B5" w:rsidP="003E19A1">
      <w:pPr>
        <w:shd w:val="clear" w:color="auto" w:fill="FFFFFF"/>
        <w:spacing w:before="648" w:line="226" w:lineRule="exact"/>
        <w:ind w:left="1085" w:hanging="197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6"/>
          <w:sz w:val="22"/>
          <w:szCs w:val="22"/>
        </w:rPr>
        <w:t xml:space="preserve">Перечень аккредитованных удостоверяющих центров, </w:t>
      </w:r>
      <w:r w:rsidRPr="003E19A1">
        <w:rPr>
          <w:rFonts w:eastAsia="Times New Roman"/>
          <w:b/>
          <w:bCs/>
          <w:spacing w:val="-5"/>
          <w:sz w:val="22"/>
          <w:szCs w:val="22"/>
        </w:rPr>
        <w:t>расположенных на территории Приморского края</w:t>
      </w:r>
    </w:p>
    <w:p w:rsidR="00C651B5" w:rsidRPr="003E19A1" w:rsidRDefault="00C651B5" w:rsidP="003E19A1">
      <w:pPr>
        <w:shd w:val="clear" w:color="auto" w:fill="FFFFFF"/>
        <w:spacing w:before="226" w:line="221" w:lineRule="exact"/>
        <w:ind w:left="2549" w:right="1094" w:hanging="715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5"/>
          <w:sz w:val="22"/>
          <w:szCs w:val="22"/>
        </w:rPr>
        <w:t xml:space="preserve">Закрытое акционерное общество </w:t>
      </w:r>
      <w:r w:rsidRPr="003E19A1">
        <w:rPr>
          <w:rFonts w:eastAsia="Times New Roman"/>
          <w:b/>
          <w:bCs/>
          <w:sz w:val="22"/>
          <w:szCs w:val="22"/>
        </w:rPr>
        <w:t>«Сервер-Центр»</w:t>
      </w:r>
    </w:p>
    <w:p w:rsidR="00C651B5" w:rsidRDefault="00C651B5" w:rsidP="003E19A1">
      <w:pPr>
        <w:shd w:val="clear" w:color="auto" w:fill="FFFFFF"/>
        <w:spacing w:line="221" w:lineRule="exact"/>
        <w:ind w:left="389"/>
        <w:jc w:val="center"/>
      </w:pPr>
      <w:r>
        <w:rPr>
          <w:rFonts w:eastAsia="Times New Roman"/>
          <w:spacing w:val="-5"/>
        </w:rPr>
        <w:t>г. Владивосток, ул. Нерчинская, д. 10, офис 315</w:t>
      </w:r>
    </w:p>
    <w:p w:rsidR="00C651B5" w:rsidRDefault="00C651B5" w:rsidP="003E19A1">
      <w:pPr>
        <w:shd w:val="clear" w:color="auto" w:fill="FFFFFF"/>
        <w:spacing w:line="221" w:lineRule="exact"/>
        <w:ind w:left="394"/>
        <w:jc w:val="center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Тел. 8 (423) 262-02-62,262-02-11, факс (423) 262-02-10</w:t>
      </w:r>
    </w:p>
    <w:p w:rsidR="00C651B5" w:rsidRPr="00DB33CD" w:rsidRDefault="00C651B5" w:rsidP="003E19A1">
      <w:pPr>
        <w:shd w:val="clear" w:color="auto" w:fill="FFFFFF"/>
        <w:spacing w:line="221" w:lineRule="exact"/>
        <w:ind w:left="394"/>
        <w:jc w:val="center"/>
        <w:rPr>
          <w:rFonts w:eastAsia="Times New Roman"/>
          <w:spacing w:val="-3"/>
        </w:rPr>
      </w:pPr>
      <w:r>
        <w:rPr>
          <w:rFonts w:eastAsia="Times New Roman"/>
          <w:spacing w:val="-3"/>
          <w:lang w:val="en-US"/>
        </w:rPr>
        <w:t>E</w:t>
      </w:r>
      <w:r w:rsidRPr="00DB33CD">
        <w:rPr>
          <w:rFonts w:eastAsia="Times New Roman"/>
          <w:spacing w:val="-3"/>
        </w:rPr>
        <w:t>-</w:t>
      </w:r>
      <w:r>
        <w:rPr>
          <w:rFonts w:eastAsia="Times New Roman"/>
          <w:spacing w:val="-3"/>
          <w:lang w:val="en-US"/>
        </w:rPr>
        <w:t>mail</w:t>
      </w:r>
      <w:r>
        <w:rPr>
          <w:rFonts w:eastAsia="Times New Roman"/>
          <w:spacing w:val="-3"/>
        </w:rPr>
        <w:t>:</w:t>
      </w:r>
      <w:r w:rsidRPr="00DB33CD">
        <w:rPr>
          <w:rFonts w:eastAsia="Times New Roman"/>
          <w:spacing w:val="-3"/>
        </w:rPr>
        <w:t xml:space="preserve"> </w:t>
      </w:r>
      <w:hyperlink r:id="rId11" w:history="1">
        <w:r w:rsidRPr="009B111E">
          <w:rPr>
            <w:rStyle w:val="a3"/>
            <w:rFonts w:eastAsia="Times New Roman"/>
            <w:spacing w:val="-3"/>
            <w:lang w:val="en-US"/>
          </w:rPr>
          <w:t>info</w:t>
        </w:r>
        <w:r w:rsidRPr="009B111E">
          <w:rPr>
            <w:rStyle w:val="a3"/>
            <w:rFonts w:eastAsia="Times New Roman"/>
            <w:spacing w:val="-3"/>
          </w:rPr>
          <w:t>@</w:t>
        </w:r>
        <w:proofErr w:type="spellStart"/>
        <w:r w:rsidRPr="009B111E">
          <w:rPr>
            <w:rStyle w:val="a3"/>
            <w:rFonts w:eastAsia="Times New Roman"/>
            <w:spacing w:val="-3"/>
            <w:lang w:val="en-US"/>
          </w:rPr>
          <w:t>serverc</w:t>
        </w:r>
        <w:proofErr w:type="spellEnd"/>
        <w:r w:rsidRPr="009B111E">
          <w:rPr>
            <w:rStyle w:val="a3"/>
            <w:rFonts w:eastAsia="Times New Roman"/>
            <w:spacing w:val="-3"/>
          </w:rPr>
          <w:t>.</w:t>
        </w:r>
        <w:proofErr w:type="spellStart"/>
        <w:r w:rsidRPr="009B111E">
          <w:rPr>
            <w:rStyle w:val="a3"/>
            <w:rFonts w:eastAsia="Times New Roman"/>
            <w:spacing w:val="-3"/>
            <w:lang w:val="en-US"/>
          </w:rPr>
          <w:t>ru</w:t>
        </w:r>
        <w:proofErr w:type="spellEnd"/>
      </w:hyperlink>
    </w:p>
    <w:p w:rsidR="00C651B5" w:rsidRPr="003E19A1" w:rsidRDefault="003E19A1" w:rsidP="003E19A1">
      <w:pPr>
        <w:shd w:val="clear" w:color="auto" w:fill="FFFFFF"/>
        <w:spacing w:before="226" w:line="221" w:lineRule="exact"/>
        <w:rPr>
          <w:sz w:val="22"/>
          <w:szCs w:val="22"/>
        </w:rPr>
      </w:pPr>
      <w:r>
        <w:rPr>
          <w:rFonts w:eastAsia="Times New Roman"/>
          <w:b/>
          <w:bCs/>
          <w:spacing w:val="-5"/>
          <w:sz w:val="22"/>
          <w:szCs w:val="22"/>
        </w:rPr>
        <w:t xml:space="preserve">                                                           </w:t>
      </w:r>
      <w:r w:rsidR="00C651B5" w:rsidRPr="003E19A1">
        <w:rPr>
          <w:rFonts w:eastAsia="Times New Roman"/>
          <w:b/>
          <w:bCs/>
          <w:spacing w:val="-5"/>
          <w:sz w:val="22"/>
          <w:szCs w:val="22"/>
        </w:rPr>
        <w:t>Акционерное общество "Атлас-2"</w:t>
      </w:r>
    </w:p>
    <w:p w:rsidR="00C651B5" w:rsidRDefault="00C651B5" w:rsidP="003E19A1">
      <w:pPr>
        <w:shd w:val="clear" w:color="auto" w:fill="FFFFFF"/>
        <w:spacing w:line="221" w:lineRule="exact"/>
        <w:ind w:left="384"/>
        <w:jc w:val="center"/>
      </w:pPr>
      <w:r>
        <w:rPr>
          <w:rFonts w:eastAsia="Times New Roman"/>
          <w:spacing w:val="-5"/>
        </w:rPr>
        <w:t>г. Владивосток, ул. Нерчинская, д. 10, офис 315</w:t>
      </w:r>
    </w:p>
    <w:p w:rsidR="00C651B5" w:rsidRPr="00C651B5" w:rsidRDefault="00C651B5" w:rsidP="003E19A1">
      <w:pPr>
        <w:shd w:val="clear" w:color="auto" w:fill="FFFFFF"/>
        <w:spacing w:line="221" w:lineRule="exact"/>
        <w:ind w:left="384"/>
        <w:jc w:val="center"/>
        <w:rPr>
          <w:lang w:val="en-US"/>
        </w:rPr>
      </w:pPr>
      <w:r>
        <w:rPr>
          <w:rFonts w:eastAsia="Times New Roman"/>
          <w:spacing w:val="-4"/>
        </w:rPr>
        <w:t>Тел</w:t>
      </w:r>
      <w:r w:rsidRPr="00C651B5">
        <w:rPr>
          <w:rFonts w:eastAsia="Times New Roman"/>
          <w:spacing w:val="-4"/>
          <w:lang w:val="en-US"/>
        </w:rPr>
        <w:t>. 8 (423) 262-02-62, 262-02-02</w:t>
      </w:r>
    </w:p>
    <w:p w:rsidR="00C651B5" w:rsidRPr="00C651B5" w:rsidRDefault="00C651B5" w:rsidP="003E19A1">
      <w:pPr>
        <w:shd w:val="clear" w:color="auto" w:fill="FFFFFF"/>
        <w:spacing w:line="221" w:lineRule="exact"/>
        <w:ind w:left="384"/>
        <w:jc w:val="center"/>
        <w:rPr>
          <w:lang w:val="en-US"/>
        </w:rPr>
      </w:pPr>
      <w:r>
        <w:rPr>
          <w:rFonts w:eastAsia="Times New Roman"/>
          <w:spacing w:val="-3"/>
          <w:lang w:val="en-US"/>
        </w:rPr>
        <w:t>E</w:t>
      </w:r>
      <w:r w:rsidRPr="00C651B5">
        <w:rPr>
          <w:rFonts w:eastAsia="Times New Roman"/>
          <w:spacing w:val="-3"/>
          <w:lang w:val="en-US"/>
        </w:rPr>
        <w:t>-</w:t>
      </w:r>
      <w:r>
        <w:rPr>
          <w:rFonts w:eastAsia="Times New Roman"/>
          <w:spacing w:val="-3"/>
          <w:lang w:val="en-US"/>
        </w:rPr>
        <w:t>mail</w:t>
      </w:r>
      <w:r w:rsidRPr="00C651B5">
        <w:rPr>
          <w:rFonts w:eastAsia="Times New Roman"/>
          <w:spacing w:val="-3"/>
          <w:lang w:val="en-US"/>
        </w:rPr>
        <w:t xml:space="preserve">: </w:t>
      </w:r>
      <w:hyperlink r:id="rId12" w:history="1">
        <w:r w:rsidRPr="009B111E">
          <w:rPr>
            <w:rStyle w:val="a3"/>
            <w:rFonts w:eastAsia="Times New Roman"/>
            <w:spacing w:val="-3"/>
            <w:lang w:val="en-US"/>
          </w:rPr>
          <w:t>personal</w:t>
        </w:r>
        <w:r w:rsidRPr="00C651B5">
          <w:rPr>
            <w:rStyle w:val="a3"/>
            <w:rFonts w:eastAsia="Times New Roman"/>
            <w:spacing w:val="-3"/>
            <w:lang w:val="en-US"/>
          </w:rPr>
          <w:t>@</w:t>
        </w:r>
        <w:r w:rsidRPr="009B111E">
          <w:rPr>
            <w:rStyle w:val="a3"/>
            <w:rFonts w:eastAsia="Times New Roman"/>
            <w:spacing w:val="-3"/>
            <w:lang w:val="en-US"/>
          </w:rPr>
          <w:t>serverc</w:t>
        </w:r>
        <w:r w:rsidRPr="00C651B5">
          <w:rPr>
            <w:rStyle w:val="a3"/>
            <w:rFonts w:eastAsia="Times New Roman"/>
            <w:spacing w:val="-3"/>
            <w:lang w:val="en-US"/>
          </w:rPr>
          <w:t>.</w:t>
        </w:r>
        <w:r w:rsidRPr="009B111E">
          <w:rPr>
            <w:rStyle w:val="a3"/>
            <w:rFonts w:eastAsia="Times New Roman"/>
            <w:spacing w:val="-3"/>
            <w:lang w:val="en-US"/>
          </w:rPr>
          <w:t>ru</w:t>
        </w:r>
      </w:hyperlink>
    </w:p>
    <w:p w:rsidR="00C651B5" w:rsidRPr="003E19A1" w:rsidRDefault="00C651B5" w:rsidP="003E19A1">
      <w:pPr>
        <w:shd w:val="clear" w:color="auto" w:fill="FFFFFF"/>
        <w:spacing w:before="221" w:line="221" w:lineRule="exact"/>
        <w:ind w:left="1733" w:right="730" w:hanging="413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6"/>
          <w:sz w:val="22"/>
          <w:szCs w:val="22"/>
        </w:rPr>
        <w:t>Общество с ограниченной ответственностью «ИНФОРМАЦИОННЫЙ ЦЕНТР»</w:t>
      </w:r>
    </w:p>
    <w:p w:rsidR="00C651B5" w:rsidRDefault="00C651B5" w:rsidP="003E19A1">
      <w:pPr>
        <w:shd w:val="clear" w:color="auto" w:fill="FFFFFF"/>
        <w:spacing w:line="221" w:lineRule="exact"/>
        <w:ind w:left="384"/>
        <w:jc w:val="center"/>
      </w:pPr>
      <w:r>
        <w:rPr>
          <w:rFonts w:eastAsia="Times New Roman"/>
          <w:spacing w:val="-5"/>
        </w:rPr>
        <w:t>г. Владивосток, ул. Некрасова, д. 88А, эт.3</w:t>
      </w:r>
    </w:p>
    <w:p w:rsidR="00C651B5" w:rsidRPr="00C651B5" w:rsidRDefault="00C651B5" w:rsidP="003E19A1">
      <w:pPr>
        <w:shd w:val="clear" w:color="auto" w:fill="FFFFFF"/>
        <w:spacing w:line="221" w:lineRule="exact"/>
        <w:ind w:left="384"/>
        <w:jc w:val="center"/>
        <w:rPr>
          <w:lang w:val="en-US"/>
        </w:rPr>
      </w:pPr>
      <w:r>
        <w:rPr>
          <w:rFonts w:eastAsia="Times New Roman"/>
          <w:spacing w:val="-4"/>
        </w:rPr>
        <w:t>Тел</w:t>
      </w:r>
      <w:r w:rsidRPr="00C651B5">
        <w:rPr>
          <w:rFonts w:eastAsia="Times New Roman"/>
          <w:spacing w:val="-4"/>
          <w:lang w:val="en-US"/>
        </w:rPr>
        <w:t>. 8 (423) 240-48-99, 240-48-66</w:t>
      </w:r>
    </w:p>
    <w:p w:rsidR="00C651B5" w:rsidRPr="00FA0394" w:rsidRDefault="00C651B5" w:rsidP="003E19A1">
      <w:pPr>
        <w:shd w:val="clear" w:color="auto" w:fill="FFFFFF"/>
        <w:spacing w:line="221" w:lineRule="exact"/>
        <w:ind w:left="384"/>
        <w:jc w:val="center"/>
        <w:rPr>
          <w:rFonts w:eastAsia="Times New Roman"/>
          <w:spacing w:val="-3"/>
          <w:lang w:val="en-US"/>
        </w:rPr>
      </w:pPr>
      <w:r w:rsidRPr="00FA0394">
        <w:rPr>
          <w:rFonts w:eastAsia="Times New Roman"/>
          <w:spacing w:val="-3"/>
          <w:lang w:val="en-US"/>
        </w:rPr>
        <w:t xml:space="preserve">E-mail: </w:t>
      </w:r>
      <w:hyperlink r:id="rId13" w:history="1">
        <w:r w:rsidRPr="00FA0394">
          <w:rPr>
            <w:rStyle w:val="a3"/>
            <w:rFonts w:eastAsia="Times New Roman"/>
            <w:spacing w:val="-3"/>
            <w:lang w:val="en-US"/>
          </w:rPr>
          <w:t>mail@ic-dv.ru</w:t>
        </w:r>
      </w:hyperlink>
    </w:p>
    <w:p w:rsidR="00C651B5" w:rsidRPr="00FA0394" w:rsidRDefault="00C651B5" w:rsidP="003E19A1">
      <w:pPr>
        <w:shd w:val="clear" w:color="auto" w:fill="FFFFFF"/>
        <w:spacing w:line="221" w:lineRule="exact"/>
        <w:ind w:left="384"/>
        <w:jc w:val="center"/>
        <w:rPr>
          <w:lang w:val="en-US"/>
        </w:rPr>
      </w:pPr>
    </w:p>
    <w:p w:rsidR="00C651B5" w:rsidRPr="003E19A1" w:rsidRDefault="00C651B5" w:rsidP="003E19A1">
      <w:pPr>
        <w:shd w:val="clear" w:color="auto" w:fill="FFFFFF"/>
        <w:spacing w:before="221" w:line="221" w:lineRule="exact"/>
        <w:ind w:left="1253" w:hanging="672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5"/>
          <w:sz w:val="22"/>
          <w:szCs w:val="22"/>
        </w:rPr>
        <w:t>Государственное учреждение - Отделение Пенсионного фонда Российской Федерации по Приморскому краю</w:t>
      </w:r>
    </w:p>
    <w:p w:rsidR="00C651B5" w:rsidRDefault="00C651B5" w:rsidP="003E19A1">
      <w:pPr>
        <w:shd w:val="clear" w:color="auto" w:fill="FFFFFF"/>
        <w:spacing w:line="221" w:lineRule="exact"/>
        <w:ind w:left="374"/>
        <w:jc w:val="center"/>
      </w:pPr>
      <w:r>
        <w:rPr>
          <w:rFonts w:eastAsia="Times New Roman"/>
          <w:spacing w:val="-4"/>
        </w:rPr>
        <w:t>г. Владивосток, ул. Фонтанная, д. 16.</w:t>
      </w:r>
    </w:p>
    <w:p w:rsidR="00C651B5" w:rsidRDefault="00C651B5" w:rsidP="003E19A1">
      <w:pPr>
        <w:shd w:val="clear" w:color="auto" w:fill="FFFFFF"/>
        <w:spacing w:line="221" w:lineRule="exact"/>
        <w:ind w:left="360"/>
        <w:jc w:val="center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Тел. 8(423) 249 86 01</w:t>
      </w:r>
    </w:p>
    <w:p w:rsidR="00C651B5" w:rsidRPr="00FA0394" w:rsidRDefault="00C651B5" w:rsidP="003E19A1">
      <w:pPr>
        <w:shd w:val="clear" w:color="auto" w:fill="FFFFFF"/>
        <w:spacing w:line="221" w:lineRule="exact"/>
        <w:ind w:left="360"/>
        <w:jc w:val="center"/>
        <w:rPr>
          <w:rFonts w:eastAsia="Times New Roman"/>
          <w:spacing w:val="-3"/>
        </w:rPr>
      </w:pPr>
      <w:r w:rsidRPr="00FA0394">
        <w:rPr>
          <w:rFonts w:eastAsia="Times New Roman"/>
          <w:spacing w:val="-3"/>
          <w:lang w:val="en-US"/>
        </w:rPr>
        <w:t>E</w:t>
      </w:r>
      <w:r w:rsidRPr="00FA0394">
        <w:rPr>
          <w:rFonts w:eastAsia="Times New Roman"/>
          <w:spacing w:val="-3"/>
        </w:rPr>
        <w:t>-</w:t>
      </w:r>
      <w:r w:rsidRPr="00FA0394">
        <w:rPr>
          <w:rFonts w:eastAsia="Times New Roman"/>
          <w:spacing w:val="-3"/>
          <w:lang w:val="en-US"/>
        </w:rPr>
        <w:t>mail</w:t>
      </w:r>
      <w:r w:rsidRPr="00FA0394">
        <w:rPr>
          <w:rFonts w:eastAsia="Times New Roman"/>
          <w:spacing w:val="-3"/>
        </w:rPr>
        <w:t xml:space="preserve">: </w:t>
      </w:r>
      <w:hyperlink r:id="rId14" w:history="1">
        <w:r w:rsidRPr="00FA0394">
          <w:rPr>
            <w:rStyle w:val="a3"/>
            <w:rFonts w:eastAsia="Times New Roman"/>
            <w:spacing w:val="-3"/>
          </w:rPr>
          <w:t>1301@035.</w:t>
        </w:r>
        <w:proofErr w:type="spellStart"/>
        <w:r w:rsidRPr="009B111E">
          <w:rPr>
            <w:rStyle w:val="a3"/>
            <w:rFonts w:eastAsia="Times New Roman"/>
            <w:spacing w:val="-3"/>
            <w:lang w:val="en-US"/>
          </w:rPr>
          <w:t>pfr</w:t>
        </w:r>
        <w:proofErr w:type="spellEnd"/>
        <w:r w:rsidRPr="00FA0394">
          <w:rPr>
            <w:rStyle w:val="a3"/>
            <w:rFonts w:eastAsia="Times New Roman"/>
            <w:spacing w:val="-3"/>
          </w:rPr>
          <w:t>.</w:t>
        </w:r>
        <w:proofErr w:type="spellStart"/>
        <w:r w:rsidRPr="009B111E">
          <w:rPr>
            <w:rStyle w:val="a3"/>
            <w:rFonts w:eastAsia="Times New Roman"/>
            <w:spacing w:val="-3"/>
            <w:lang w:val="en-US"/>
          </w:rPr>
          <w:t>ru</w:t>
        </w:r>
        <w:proofErr w:type="spellEnd"/>
      </w:hyperlink>
    </w:p>
    <w:p w:rsidR="00C651B5" w:rsidRPr="003E19A1" w:rsidRDefault="00C651B5" w:rsidP="003E19A1">
      <w:pPr>
        <w:shd w:val="clear" w:color="auto" w:fill="FFFFFF"/>
        <w:spacing w:before="221" w:line="221" w:lineRule="exact"/>
        <w:ind w:left="557" w:firstLine="677"/>
        <w:jc w:val="center"/>
        <w:rPr>
          <w:sz w:val="22"/>
          <w:szCs w:val="22"/>
        </w:rPr>
      </w:pPr>
      <w:r w:rsidRPr="003E19A1">
        <w:rPr>
          <w:rFonts w:eastAsia="Times New Roman"/>
          <w:b/>
          <w:bCs/>
          <w:spacing w:val="-5"/>
          <w:sz w:val="22"/>
          <w:szCs w:val="22"/>
        </w:rPr>
        <w:t xml:space="preserve">Краевое государственное казенное учреждение </w:t>
      </w:r>
      <w:r w:rsidRPr="003E19A1">
        <w:rPr>
          <w:rFonts w:eastAsia="Times New Roman"/>
          <w:b/>
          <w:bCs/>
          <w:spacing w:val="-6"/>
          <w:sz w:val="22"/>
          <w:szCs w:val="22"/>
        </w:rPr>
        <w:t>«Информационно-технологический центр Приморского края»</w:t>
      </w:r>
    </w:p>
    <w:p w:rsidR="00C651B5" w:rsidRDefault="00C651B5" w:rsidP="003E19A1">
      <w:pPr>
        <w:shd w:val="clear" w:color="auto" w:fill="FFFFFF"/>
        <w:spacing w:line="221" w:lineRule="exact"/>
        <w:ind w:left="370"/>
        <w:jc w:val="center"/>
      </w:pPr>
      <w:r>
        <w:rPr>
          <w:rFonts w:eastAsia="Times New Roman"/>
          <w:spacing w:val="-5"/>
        </w:rPr>
        <w:t>г. Владивосток, ул. Алеутская, д. 16.</w:t>
      </w:r>
    </w:p>
    <w:p w:rsidR="00C651B5" w:rsidRPr="00C651B5" w:rsidRDefault="00C651B5" w:rsidP="003E19A1">
      <w:pPr>
        <w:shd w:val="clear" w:color="auto" w:fill="FFFFFF"/>
        <w:spacing w:line="221" w:lineRule="exact"/>
        <w:ind w:left="374"/>
        <w:jc w:val="center"/>
        <w:rPr>
          <w:lang w:val="en-US"/>
        </w:rPr>
      </w:pPr>
      <w:r>
        <w:rPr>
          <w:rFonts w:eastAsia="Times New Roman"/>
          <w:spacing w:val="-3"/>
        </w:rPr>
        <w:t>Тел</w:t>
      </w:r>
      <w:r w:rsidRPr="00C651B5">
        <w:rPr>
          <w:rFonts w:eastAsia="Times New Roman"/>
          <w:spacing w:val="-3"/>
          <w:lang w:val="en-US"/>
        </w:rPr>
        <w:t>. 8 (423) 230-25-26</w:t>
      </w:r>
    </w:p>
    <w:p w:rsidR="00C651B5" w:rsidRDefault="00C651B5" w:rsidP="003E19A1">
      <w:pPr>
        <w:shd w:val="clear" w:color="auto" w:fill="FFFFFF"/>
        <w:spacing w:before="5" w:line="221" w:lineRule="exact"/>
        <w:ind w:left="379"/>
        <w:jc w:val="center"/>
        <w:rPr>
          <w:lang w:val="en-US"/>
        </w:rPr>
      </w:pPr>
      <w:r w:rsidRPr="00FA0394">
        <w:rPr>
          <w:rFonts w:eastAsia="Times New Roman"/>
          <w:spacing w:val="-3"/>
          <w:lang w:val="en-US"/>
        </w:rPr>
        <w:t xml:space="preserve">E-mail: </w:t>
      </w:r>
      <w:hyperlink r:id="rId15" w:history="1">
        <w:r w:rsidRPr="009B111E">
          <w:rPr>
            <w:rStyle w:val="a3"/>
            <w:rFonts w:eastAsia="Times New Roman"/>
            <w:spacing w:val="-3"/>
            <w:lang w:val="en-US"/>
          </w:rPr>
          <w:t>itc</w:t>
        </w:r>
        <w:r w:rsidRPr="009B111E">
          <w:rPr>
            <w:rStyle w:val="a3"/>
            <w:lang w:val="en-US"/>
          </w:rPr>
          <w:t>@primorsky.ru</w:t>
        </w:r>
      </w:hyperlink>
    </w:p>
    <w:p w:rsidR="008E6867" w:rsidRPr="00C651B5" w:rsidRDefault="008E6867" w:rsidP="003E19A1">
      <w:pPr>
        <w:shd w:val="clear" w:color="auto" w:fill="FFFFFF"/>
        <w:spacing w:line="221" w:lineRule="exact"/>
        <w:ind w:left="370"/>
        <w:jc w:val="center"/>
        <w:rPr>
          <w:lang w:val="en-US"/>
        </w:rPr>
      </w:pPr>
    </w:p>
    <w:sectPr w:rsidR="008E6867" w:rsidRPr="00C651B5" w:rsidSect="003E19A1">
      <w:type w:val="continuous"/>
      <w:pgSz w:w="16834" w:h="11909" w:orient="landscape"/>
      <w:pgMar w:top="567" w:right="674" w:bottom="360" w:left="993" w:header="720" w:footer="720" w:gutter="0"/>
      <w:cols w:space="42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C8D"/>
    <w:multiLevelType w:val="hybridMultilevel"/>
    <w:tmpl w:val="BBE6EF50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CA815F9"/>
    <w:multiLevelType w:val="hybridMultilevel"/>
    <w:tmpl w:val="2B5CCF3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131CA"/>
    <w:multiLevelType w:val="singleLevel"/>
    <w:tmpl w:val="ADB6C24C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A438D5"/>
    <w:multiLevelType w:val="singleLevel"/>
    <w:tmpl w:val="05D06D6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037EB6"/>
    <w:multiLevelType w:val="hybridMultilevel"/>
    <w:tmpl w:val="BF28E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25F4"/>
    <w:multiLevelType w:val="hybridMultilevel"/>
    <w:tmpl w:val="94A4D9D8"/>
    <w:lvl w:ilvl="0" w:tplc="A650B704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4813414C"/>
    <w:multiLevelType w:val="hybridMultilevel"/>
    <w:tmpl w:val="74846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7039"/>
    <w:multiLevelType w:val="hybridMultilevel"/>
    <w:tmpl w:val="0A361E22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D5097"/>
    <w:multiLevelType w:val="hybridMultilevel"/>
    <w:tmpl w:val="DE68B5FC"/>
    <w:lvl w:ilvl="0" w:tplc="0419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625F2F9B"/>
    <w:multiLevelType w:val="hybridMultilevel"/>
    <w:tmpl w:val="2F10E8FA"/>
    <w:lvl w:ilvl="0" w:tplc="041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06"/>
    <w:rsid w:val="00007232"/>
    <w:rsid w:val="001B4DEB"/>
    <w:rsid w:val="001C61E4"/>
    <w:rsid w:val="00222F25"/>
    <w:rsid w:val="00300E4C"/>
    <w:rsid w:val="00337A13"/>
    <w:rsid w:val="003E19A1"/>
    <w:rsid w:val="00440563"/>
    <w:rsid w:val="00457570"/>
    <w:rsid w:val="00465815"/>
    <w:rsid w:val="00472391"/>
    <w:rsid w:val="004F0606"/>
    <w:rsid w:val="008E6867"/>
    <w:rsid w:val="00902350"/>
    <w:rsid w:val="009C18A9"/>
    <w:rsid w:val="00A973D3"/>
    <w:rsid w:val="00C651B5"/>
    <w:rsid w:val="00CE35AC"/>
    <w:rsid w:val="00CF1378"/>
    <w:rsid w:val="00DB33CD"/>
    <w:rsid w:val="00EA6948"/>
    <w:rsid w:val="00EB26C3"/>
    <w:rsid w:val="00FA0394"/>
    <w:rsid w:val="00FA1D0B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2F23"/>
  <w15:docId w15:val="{D8D8379D-ED9E-44A6-9D3B-F6FAC70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C1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9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94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A694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C1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CF137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gov.ru" TargetMode="External"/><Relationship Id="rId13" Type="http://schemas.openxmlformats.org/officeDocument/2006/relationships/hyperlink" Target="mailto:mail@ic-d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12" Type="http://schemas.openxmlformats.org/officeDocument/2006/relationships/hyperlink" Target="mailto:personal@server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serverc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tc@primorsky.ru" TargetMode="External"/><Relationship Id="rId10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.gov.ru" TargetMode="External"/><Relationship Id="rId14" Type="http://schemas.openxmlformats.org/officeDocument/2006/relationships/hyperlink" Target="mailto:1301@035.p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Isaenko_TD</dc:creator>
  <cp:lastModifiedBy>Криволапова Ирина Николаевна</cp:lastModifiedBy>
  <cp:revision>2</cp:revision>
  <dcterms:created xsi:type="dcterms:W3CDTF">2019-11-26T00:24:00Z</dcterms:created>
  <dcterms:modified xsi:type="dcterms:W3CDTF">2019-11-26T00:24:00Z</dcterms:modified>
</cp:coreProperties>
</file>