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C4" w:rsidRPr="00A51DF9" w:rsidRDefault="00404D6B">
      <w:pPr>
        <w:widowControl/>
        <w:tabs>
          <w:tab w:val="left" w:pos="615"/>
          <w:tab w:val="left" w:pos="709"/>
          <w:tab w:val="left" w:pos="1080"/>
        </w:tabs>
        <w:rPr>
          <w:rFonts w:ascii="Times New Roman" w:eastAsia="Calibri;DejaVu Sans" w:hAnsi="Times New Roman" w:cs="Times New Roman"/>
          <w:b/>
          <w:bCs/>
          <w:szCs w:val="28"/>
          <w:lang w:eastAsia="en-US"/>
        </w:rPr>
      </w:pPr>
      <w:bookmarkStart w:id="0" w:name="_GoBack"/>
      <w:r w:rsidRPr="00A51DF9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ИНФОРМАЦИЯ</w:t>
      </w:r>
    </w:p>
    <w:p w:rsidR="000D43C4" w:rsidRPr="00A51DF9" w:rsidRDefault="00404D6B">
      <w:pPr>
        <w:widowControl/>
        <w:tabs>
          <w:tab w:val="left" w:pos="615"/>
          <w:tab w:val="left" w:pos="709"/>
          <w:tab w:val="left" w:pos="1080"/>
        </w:tabs>
        <w:ind w:firstLine="680"/>
        <w:rPr>
          <w:rFonts w:ascii="Times New Roman" w:eastAsia="Calibri;DejaVu Sans" w:hAnsi="Times New Roman" w:cs="Times New Roman"/>
          <w:b/>
          <w:bCs/>
          <w:szCs w:val="28"/>
          <w:lang w:eastAsia="en-US"/>
        </w:rPr>
      </w:pPr>
      <w:r w:rsidRPr="00A51DF9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о предоставлении инвалидам по зрению</w:t>
      </w:r>
    </w:p>
    <w:p w:rsidR="000D43C4" w:rsidRPr="00A51DF9" w:rsidRDefault="00404D6B">
      <w:pPr>
        <w:widowControl/>
        <w:tabs>
          <w:tab w:val="left" w:pos="615"/>
          <w:tab w:val="left" w:pos="709"/>
          <w:tab w:val="left" w:pos="1080"/>
        </w:tabs>
        <w:ind w:firstLine="680"/>
        <w:rPr>
          <w:rFonts w:ascii="Times New Roman" w:eastAsia="Calibri;DejaVu Sans" w:hAnsi="Times New Roman" w:cs="Times New Roman"/>
          <w:b/>
          <w:bCs/>
          <w:szCs w:val="28"/>
          <w:lang w:eastAsia="en-US"/>
        </w:rPr>
      </w:pPr>
      <w:r w:rsidRPr="00A51DF9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 xml:space="preserve">компенсации расходов, понесенных </w:t>
      </w:r>
    </w:p>
    <w:p w:rsidR="000D43C4" w:rsidRDefault="00404D6B">
      <w:pPr>
        <w:widowControl/>
        <w:tabs>
          <w:tab w:val="left" w:pos="615"/>
          <w:tab w:val="left" w:pos="709"/>
          <w:tab w:val="left" w:pos="1080"/>
        </w:tabs>
        <w:ind w:firstLine="680"/>
      </w:pPr>
      <w:r w:rsidRPr="00A51DF9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 xml:space="preserve">в случае приобретения телефона с функцией </w:t>
      </w:r>
      <w:r>
        <w:rPr>
          <w:rFonts w:ascii="Times New Roman" w:eastAsia="Calibri" w:hAnsi="Times New Roman" w:cs="Times New Roman"/>
          <w:b/>
          <w:bCs/>
          <w:color w:val="000000"/>
          <w:szCs w:val="28"/>
          <w:lang w:val="en-US" w:eastAsia="en-US"/>
        </w:rPr>
        <w:t>NFC</w:t>
      </w:r>
      <w:r w:rsidRPr="00A51DF9">
        <w:rPr>
          <w:rFonts w:ascii="Times New Roman" w:eastAsia="Calibri" w:hAnsi="Times New Roman" w:cs="Times New Roman"/>
          <w:b/>
          <w:bCs/>
          <w:color w:val="000000"/>
          <w:szCs w:val="28"/>
          <w:lang w:eastAsia="en-US"/>
        </w:rPr>
        <w:t xml:space="preserve">, </w:t>
      </w:r>
    </w:p>
    <w:p w:rsidR="000D43C4" w:rsidRDefault="00404D6B">
      <w:pPr>
        <w:widowControl/>
        <w:tabs>
          <w:tab w:val="left" w:pos="615"/>
          <w:tab w:val="left" w:pos="709"/>
          <w:tab w:val="left" w:pos="1080"/>
        </w:tabs>
        <w:ind w:firstLine="680"/>
      </w:pPr>
      <w:r w:rsidRPr="00A51DF9">
        <w:rPr>
          <w:rFonts w:ascii="Times New Roman" w:eastAsia="Calibri" w:hAnsi="Times New Roman" w:cs="Times New Roman"/>
          <w:b/>
          <w:bCs/>
          <w:color w:val="000000"/>
          <w:szCs w:val="28"/>
          <w:lang w:eastAsia="en-US"/>
        </w:rPr>
        <w:t xml:space="preserve">доплаты к компенсации на </w:t>
      </w:r>
      <w:r w:rsidRPr="00A51DF9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 xml:space="preserve">содержание </w:t>
      </w:r>
    </w:p>
    <w:p w:rsidR="000D43C4" w:rsidRPr="00A51DF9" w:rsidRDefault="00404D6B">
      <w:pPr>
        <w:widowControl/>
        <w:tabs>
          <w:tab w:val="left" w:pos="615"/>
          <w:tab w:val="left" w:pos="709"/>
          <w:tab w:val="left" w:pos="1080"/>
        </w:tabs>
        <w:ind w:firstLine="680"/>
        <w:rPr>
          <w:rFonts w:ascii="Times New Roman" w:eastAsia="Calibri;DejaVu Sans" w:hAnsi="Times New Roman" w:cs="Times New Roman"/>
          <w:b/>
          <w:bCs/>
          <w:szCs w:val="28"/>
          <w:lang w:eastAsia="en-US"/>
        </w:rPr>
      </w:pPr>
      <w:r w:rsidRPr="00A51DF9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собаки-проводника</w:t>
      </w:r>
    </w:p>
    <w:bookmarkEnd w:id="0"/>
    <w:p w:rsidR="000D43C4" w:rsidRPr="00A51DF9" w:rsidRDefault="000D43C4">
      <w:pPr>
        <w:widowControl/>
        <w:tabs>
          <w:tab w:val="left" w:pos="615"/>
          <w:tab w:val="left" w:pos="709"/>
          <w:tab w:val="left" w:pos="1080"/>
        </w:tabs>
        <w:ind w:firstLine="680"/>
        <w:rPr>
          <w:rFonts w:ascii="Times New Roman" w:eastAsia="Calibri;DejaVu Sans" w:hAnsi="Times New Roman" w:cs="Times New Roman"/>
          <w:bCs/>
          <w:szCs w:val="28"/>
          <w:lang w:eastAsia="en-US"/>
        </w:rPr>
      </w:pPr>
    </w:p>
    <w:p w:rsidR="000D43C4" w:rsidRDefault="00404D6B">
      <w:pPr>
        <w:keepNext/>
        <w:tabs>
          <w:tab w:val="left" w:pos="0"/>
          <w:tab w:val="left" w:pos="709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szCs w:val="28"/>
        </w:rPr>
        <w:t xml:space="preserve">1. Перечень нормативных </w:t>
      </w:r>
      <w:r>
        <w:rPr>
          <w:rFonts w:ascii="Times New Roman" w:hAnsi="Times New Roman" w:cs="Times New Roman"/>
          <w:b/>
          <w:bCs/>
          <w:szCs w:val="28"/>
        </w:rPr>
        <w:t>правовых</w:t>
      </w:r>
      <w:r>
        <w:rPr>
          <w:rFonts w:ascii="Times New Roman" w:hAnsi="Times New Roman" w:cs="Times New Roman"/>
          <w:b/>
          <w:bCs/>
          <w:szCs w:val="28"/>
        </w:rPr>
        <w:t xml:space="preserve"> актов:</w:t>
      </w:r>
    </w:p>
    <w:p w:rsidR="000D43C4" w:rsidRDefault="00404D6B">
      <w:pPr>
        <w:tabs>
          <w:tab w:val="left" w:pos="0"/>
          <w:tab w:val="left" w:pos="709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bCs/>
          <w:szCs w:val="28"/>
        </w:rPr>
        <w:t xml:space="preserve">Закон Приморского края от </w:t>
      </w:r>
      <w:r>
        <w:rPr>
          <w:rFonts w:ascii="Times New Roman" w:hAnsi="Times New Roman" w:cs="Times New Roman"/>
          <w:bCs/>
          <w:szCs w:val="28"/>
        </w:rPr>
        <w:t>02.06.2022</w:t>
      </w:r>
      <w:r>
        <w:rPr>
          <w:rFonts w:ascii="Times New Roman" w:hAnsi="Times New Roman" w:cs="Times New Roman"/>
          <w:bCs/>
          <w:szCs w:val="28"/>
        </w:rPr>
        <w:t xml:space="preserve"> № 120-КЗ «О предоставлении дополнительных мер социальной </w:t>
      </w:r>
      <w:r>
        <w:rPr>
          <w:rFonts w:ascii="Times New Roman" w:eastAsia="Calibri" w:hAnsi="Times New Roman" w:cs="Times New Roman"/>
          <w:bCs/>
          <w:color w:val="000000"/>
          <w:spacing w:val="2"/>
          <w:szCs w:val="28"/>
          <w:lang w:eastAsia="en-US"/>
        </w:rPr>
        <w:t>поддержки</w:t>
      </w:r>
      <w:r>
        <w:rPr>
          <w:rFonts w:ascii="Times New Roman" w:hAnsi="Times New Roman" w:cs="Times New Roman"/>
          <w:bCs/>
          <w:szCs w:val="28"/>
        </w:rPr>
        <w:t xml:space="preserve"> отдельным категориям инвалидов (детей-инвалидов) по приспособлению жилых помещений </w:t>
      </w:r>
      <w:proofErr w:type="gramStart"/>
      <w:r>
        <w:rPr>
          <w:rFonts w:ascii="Times New Roman" w:hAnsi="Times New Roman" w:cs="Times New Roman"/>
          <w:bCs/>
          <w:szCs w:val="28"/>
        </w:rPr>
        <w:t>у учетом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их потребностей и созданию условий индивидуальной мобильности»;</w:t>
      </w:r>
    </w:p>
    <w:p w:rsidR="000D43C4" w:rsidRDefault="00404D6B">
      <w:pPr>
        <w:tabs>
          <w:tab w:val="left" w:pos="0"/>
          <w:tab w:val="left" w:pos="709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bCs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Правительства Приморского края </w:t>
      </w:r>
      <w:r>
        <w:rPr>
          <w:rFonts w:ascii="Times New Roman" w:eastAsia="Times New Roman" w:hAnsi="Times New Roman" w:cs="Times New Roman"/>
          <w:bCs/>
          <w:color w:val="000000"/>
          <w:spacing w:val="2"/>
          <w:szCs w:val="28"/>
        </w:rPr>
        <w:t>от 08.07.2022 № 476-пп</w:t>
      </w:r>
      <w:r>
        <w:rPr>
          <w:rFonts w:ascii="Times New Roman" w:hAnsi="Times New Roman" w:cs="Times New Roman"/>
          <w:color w:val="000000"/>
          <w:spacing w:val="2"/>
          <w:szCs w:val="28"/>
        </w:rPr>
        <w:t xml:space="preserve"> «</w:t>
      </w:r>
      <w:r>
        <w:rPr>
          <w:rFonts w:ascii="Times New Roman" w:eastAsia="Calibri;DejaVu Sans" w:hAnsi="Times New Roman" w:cs="Times New Roman"/>
          <w:bCs/>
          <w:color w:val="000000"/>
          <w:spacing w:val="2"/>
          <w:szCs w:val="28"/>
          <w:lang w:eastAsia="en-US"/>
        </w:rPr>
        <w:t xml:space="preserve">Об утверждении </w:t>
      </w:r>
      <w:proofErr w:type="gramStart"/>
      <w:r>
        <w:rPr>
          <w:rFonts w:ascii="Times New Roman" w:eastAsia="Calibri;DejaVu Sans" w:hAnsi="Times New Roman" w:cs="Times New Roman"/>
          <w:bCs/>
          <w:color w:val="000000"/>
          <w:spacing w:val="2"/>
          <w:szCs w:val="28"/>
          <w:lang w:eastAsia="en-US"/>
        </w:rPr>
        <w:t xml:space="preserve">Порядка </w:t>
      </w:r>
      <w:r>
        <w:rPr>
          <w:rFonts w:ascii="Times New Roman" w:eastAsia="Calibri" w:hAnsi="Times New Roman" w:cs="Times New Roman"/>
          <w:bCs/>
          <w:color w:val="000000"/>
          <w:spacing w:val="2"/>
          <w:szCs w:val="28"/>
          <w:lang w:eastAsia="en-US"/>
        </w:rPr>
        <w:t xml:space="preserve"> предоставления</w:t>
      </w:r>
      <w:proofErr w:type="gramEnd"/>
      <w:r>
        <w:rPr>
          <w:rFonts w:ascii="Times New Roman" w:eastAsia="Calibri" w:hAnsi="Times New Roman" w:cs="Times New Roman"/>
          <w:bCs/>
          <w:color w:val="000000"/>
          <w:spacing w:val="2"/>
          <w:szCs w:val="28"/>
          <w:lang w:eastAsia="en-US"/>
        </w:rPr>
        <w:t xml:space="preserve"> дополнительных мер социальной поддержки отдельным категориям инвалидов (детей-инвалидов) по созданию условий индивидуальной мобильности</w:t>
      </w:r>
      <w:r>
        <w:rPr>
          <w:rFonts w:ascii="Times New Roman" w:hAnsi="Times New Roman" w:cs="Times New Roman"/>
          <w:color w:val="000000"/>
          <w:spacing w:val="2"/>
          <w:szCs w:val="28"/>
        </w:rPr>
        <w:t>»</w:t>
      </w:r>
      <w:r>
        <w:rPr>
          <w:rFonts w:ascii="Times New Roman" w:hAnsi="Times New Roman" w:cs="Times New Roman"/>
          <w:bCs/>
          <w:szCs w:val="28"/>
        </w:rPr>
        <w:t>.</w:t>
      </w:r>
    </w:p>
    <w:p w:rsidR="000D43C4" w:rsidRDefault="00404D6B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ab/>
      </w:r>
    </w:p>
    <w:p w:rsidR="000D43C4" w:rsidRDefault="00404D6B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2. Перечень </w:t>
      </w:r>
      <w:r>
        <w:rPr>
          <w:rFonts w:ascii="Times New Roman" w:hAnsi="Times New Roman" w:cs="Times New Roman"/>
          <w:b/>
          <w:bCs/>
          <w:color w:val="000000"/>
          <w:szCs w:val="28"/>
        </w:rPr>
        <w:t>документов, необходимых для компенсации за телефон:</w:t>
      </w:r>
    </w:p>
    <w:p w:rsidR="000D43C4" w:rsidRDefault="00404D6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(свидетельство о рождении ребенка в случае обращения уполномоченного представителя в интересах ребенка-инвалида);</w:t>
      </w:r>
    </w:p>
    <w:p w:rsidR="000D43C4" w:rsidRDefault="00404D6B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правка МСЭ об инвалидности;</w:t>
      </w:r>
    </w:p>
    <w:p w:rsidR="000D43C4" w:rsidRDefault="00404D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ИПРА;</w:t>
      </w:r>
    </w:p>
    <w:p w:rsidR="000D43C4" w:rsidRDefault="00404D6B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Cs w:val="28"/>
        </w:rPr>
        <w:t>Ч</w:t>
      </w:r>
      <w:r>
        <w:rPr>
          <w:rFonts w:ascii="Times New Roman" w:eastAsia="Times New Roman" w:hAnsi="Times New Roman" w:cs="Times New Roman"/>
          <w:szCs w:val="28"/>
        </w:rPr>
        <w:t>ек и товарный чек с указанием стоимости и моде</w:t>
      </w:r>
      <w:r>
        <w:rPr>
          <w:rFonts w:ascii="Times New Roman" w:eastAsia="Times New Roman" w:hAnsi="Times New Roman" w:cs="Times New Roman"/>
          <w:szCs w:val="28"/>
        </w:rPr>
        <w:t xml:space="preserve">ли телефона, печатью и подписью продавца; </w:t>
      </w:r>
    </w:p>
    <w:p w:rsidR="000D43C4" w:rsidRDefault="00404D6B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арантийный талон, скрепленный печатью и заверенный подписью продавца, с указанием сведения о наименовании товара, его серийного номера, даты продажи, наименования и адреса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продавца,  фамилии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имени и отчества инв</w:t>
      </w:r>
      <w:r>
        <w:rPr>
          <w:rFonts w:ascii="Times New Roman" w:hAnsi="Times New Roman" w:cs="Times New Roman"/>
          <w:color w:val="000000"/>
          <w:sz w:val="28"/>
          <w:szCs w:val="28"/>
        </w:rPr>
        <w:t>алида;</w:t>
      </w:r>
    </w:p>
    <w:p w:rsidR="000D43C4" w:rsidRDefault="00404D6B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уководство пользователя мобильного телефона (инструкция по эксплуатации),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котором содержится информация о наличии в мобильном телефоне встроенного модуля NFC.</w:t>
      </w:r>
    </w:p>
    <w:p w:rsidR="000D43C4" w:rsidRDefault="000D43C4">
      <w:pPr>
        <w:tabs>
          <w:tab w:val="left" w:pos="0"/>
        </w:tabs>
        <w:spacing w:line="276" w:lineRule="auto"/>
        <w:ind w:firstLine="709"/>
        <w:jc w:val="both"/>
      </w:pPr>
    </w:p>
    <w:p w:rsidR="000D43C4" w:rsidRDefault="00404D6B">
      <w:pPr>
        <w:tabs>
          <w:tab w:val="left" w:pos="0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3. Перечень документов, необходимых для доплаты к </w:t>
      </w:r>
      <w:proofErr w:type="gramStart"/>
      <w:r>
        <w:rPr>
          <w:rFonts w:ascii="Times New Roman" w:hAnsi="Times New Roman" w:cs="Times New Roman"/>
          <w:b/>
          <w:bCs/>
          <w:color w:val="000000"/>
          <w:szCs w:val="28"/>
        </w:rPr>
        <w:t>компенсации  на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содержание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>собаки-проводника:</w:t>
      </w:r>
    </w:p>
    <w:p w:rsidR="000D43C4" w:rsidRDefault="00404D6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(свидетельство о рождении ребенка в случае обращения уполномоченного представителя в интересах ребенка-инвалида);</w:t>
      </w:r>
    </w:p>
    <w:p w:rsidR="000D43C4" w:rsidRDefault="00404D6B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правка МСЭ об инвалидности;</w:t>
      </w:r>
    </w:p>
    <w:p w:rsidR="000D43C4" w:rsidRDefault="00404D6B">
      <w:pPr>
        <w:pStyle w:val="ConsPlusNormal"/>
        <w:widowControl w:val="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ИПРА.</w:t>
      </w:r>
    </w:p>
    <w:p w:rsidR="000D43C4" w:rsidRDefault="00404D6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>
        <w:br w:type="page"/>
      </w:r>
    </w:p>
    <w:p w:rsidR="000D43C4" w:rsidRDefault="000D43C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0D43C4" w:rsidRDefault="00404D6B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. Порядок действий для получения компенсации 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>за телефон:</w:t>
      </w:r>
    </w:p>
    <w:p w:rsidR="000D43C4" w:rsidRDefault="00404D6B">
      <w:pPr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1"/>
          <w:szCs w:val="28"/>
        </w:rPr>
        <w:t xml:space="preserve">4.1. Проверить в </w:t>
      </w:r>
      <w:r>
        <w:rPr>
          <w:rFonts w:ascii="Times New Roman" w:hAnsi="Times New Roman" w:cs="Times New Roman"/>
          <w:color w:val="000000"/>
          <w:spacing w:val="1"/>
          <w:szCs w:val="28"/>
        </w:rPr>
        <w:t>ИПРА наличие записи о том, что рекомендовано использование одного или нескольких вспомогательных средств (</w:t>
      </w:r>
      <w:r>
        <w:rPr>
          <w:rFonts w:ascii="Times New Roman" w:hAnsi="Times New Roman" w:cs="Times New Roman"/>
          <w:color w:val="22272F"/>
          <w:szCs w:val="28"/>
        </w:rPr>
        <w:t xml:space="preserve">специальные устройства для чтения «говорящих книг», для оптической коррекции слабовидения; </w:t>
      </w:r>
      <w:r>
        <w:rPr>
          <w:rFonts w:ascii="Times New Roman" w:hAnsi="Times New Roman" w:cs="Times New Roman"/>
          <w:color w:val="22272F"/>
          <w:szCs w:val="28"/>
        </w:rPr>
        <w:t xml:space="preserve">собака-проводник с комплектом снаряжения; медицинские термометры и тонометры с речевым выходом; </w:t>
      </w:r>
      <w:bookmarkStart w:id="1" w:name="p_2212"/>
      <w:bookmarkEnd w:id="1"/>
      <w:proofErr w:type="spellStart"/>
      <w:r>
        <w:rPr>
          <w:rFonts w:ascii="Times New Roman" w:hAnsi="Times New Roman" w:cs="Times New Roman"/>
          <w:color w:val="22272F"/>
          <w:szCs w:val="28"/>
        </w:rPr>
        <w:t>Брайлевский</w:t>
      </w:r>
      <w:proofErr w:type="spellEnd"/>
      <w:r>
        <w:rPr>
          <w:rFonts w:ascii="Times New Roman" w:hAnsi="Times New Roman" w:cs="Times New Roman"/>
          <w:color w:val="22272F"/>
          <w:szCs w:val="28"/>
        </w:rPr>
        <w:t xml:space="preserve"> дисплей, программное обеспечение экранного доступа).</w:t>
      </w:r>
    </w:p>
    <w:p w:rsidR="000D43C4" w:rsidRDefault="00404D6B">
      <w:pPr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1"/>
          <w:szCs w:val="28"/>
        </w:rPr>
        <w:t>4.2. Приобрести мобильный телефон любой модели по своему выбору, но обязательно с функцией беск</w:t>
      </w:r>
      <w:r>
        <w:rPr>
          <w:rFonts w:ascii="Times New Roman" w:hAnsi="Times New Roman" w:cs="Times New Roman"/>
          <w:color w:val="000000"/>
          <w:spacing w:val="1"/>
          <w:szCs w:val="28"/>
        </w:rPr>
        <w:t>онтактной оплаты (со встроенным модулем NFC), получив следующие документы:</w:t>
      </w:r>
    </w:p>
    <w:p w:rsidR="000D43C4" w:rsidRDefault="00404D6B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Cs w:val="28"/>
        </w:rPr>
        <w:t>ч</w:t>
      </w:r>
      <w:r>
        <w:rPr>
          <w:rFonts w:ascii="Times New Roman" w:eastAsia="Times New Roman" w:hAnsi="Times New Roman" w:cs="Times New Roman"/>
          <w:szCs w:val="28"/>
        </w:rPr>
        <w:t xml:space="preserve">ек и товарный чек с указанием стоимости и модели телефона, печатью и подписью продавца; </w:t>
      </w:r>
    </w:p>
    <w:p w:rsidR="000D43C4" w:rsidRDefault="00404D6B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арантийный талон, скрепленный печатью и заверенный подписью продавца, с указанием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наименовании товара, его серийного номера, даты продажи, наименования и адреса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продавца,  фамилии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имени и отчества инвалида;</w:t>
      </w:r>
    </w:p>
    <w:p w:rsidR="000D43C4" w:rsidRDefault="00404D6B">
      <w:pPr>
        <w:pStyle w:val="ConsPlusNormal"/>
        <w:widowControl w:val="0"/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Source Han Sans CN Regular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уководство пользователя мобильного телефона (инструкция по эксплуатации),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котором содержится информация о наличии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мобильном телефоне встроенного модуля NFC.</w:t>
      </w:r>
    </w:p>
    <w:p w:rsidR="000D43C4" w:rsidRDefault="00404D6B">
      <w:pPr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1"/>
          <w:szCs w:val="28"/>
        </w:rPr>
        <w:t>4.3. О</w:t>
      </w:r>
      <w:r>
        <w:rPr>
          <w:rFonts w:ascii="Times New Roman" w:hAnsi="Times New Roman" w:cs="Times New Roman"/>
          <w:color w:val="000000"/>
          <w:spacing w:val="1"/>
          <w:szCs w:val="28"/>
        </w:rPr>
        <w:t>братиться в КГКУ «Центр социальной поддержки населения» по месту жительства для подачи заявления и документов на получение компенсации</w:t>
      </w:r>
      <w:r>
        <w:rPr>
          <w:rFonts w:ascii="Times New Roman" w:hAnsi="Times New Roman" w:cs="Times New Roman"/>
          <w:color w:val="000000"/>
          <w:spacing w:val="1"/>
          <w:szCs w:val="28"/>
        </w:rPr>
        <w:t>.</w:t>
      </w:r>
    </w:p>
    <w:p w:rsidR="000D43C4" w:rsidRDefault="000D43C4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Cs w:val="28"/>
        </w:rPr>
      </w:pPr>
    </w:p>
    <w:p w:rsidR="000D43C4" w:rsidRDefault="00404D6B">
      <w:pPr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8"/>
        </w:rPr>
        <w:t xml:space="preserve">5. Порядок действий для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8"/>
        </w:rPr>
        <w:t>дополнительной компенсации на содерж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8"/>
        </w:rPr>
        <w:t>ание собаки-проводника:</w:t>
      </w:r>
    </w:p>
    <w:p w:rsidR="000D43C4" w:rsidRDefault="00404D6B">
      <w:pPr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1"/>
          <w:szCs w:val="28"/>
        </w:rPr>
        <w:t>5.1. Получить в Приморском региональном отделении Фонда социального страхования России (далее - Фонд) по месту жительства компенсацию на содержание собаки-проводника.</w:t>
      </w:r>
    </w:p>
    <w:p w:rsidR="000D43C4" w:rsidRDefault="00404D6B">
      <w:pPr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1"/>
          <w:szCs w:val="28"/>
        </w:rPr>
        <w:t xml:space="preserve">5.2. После получения компенсации из Фонда обратиться в </w:t>
      </w:r>
      <w:r>
        <w:rPr>
          <w:rFonts w:ascii="Times New Roman" w:hAnsi="Times New Roman" w:cs="Times New Roman"/>
          <w:color w:val="000000"/>
          <w:spacing w:val="1"/>
          <w:szCs w:val="28"/>
        </w:rPr>
        <w:t>КГКУ «Центр социальной поддержки населения» по месту жительства для подачи заявления и предъявления документов на доплату к компенсации на содержание собаки-проводника.</w:t>
      </w:r>
    </w:p>
    <w:sectPr w:rsidR="000D43C4">
      <w:headerReference w:type="default" r:id="rId7"/>
      <w:pgSz w:w="11906" w:h="16838"/>
      <w:pgMar w:top="777" w:right="845" w:bottom="1493" w:left="1105" w:header="720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6B" w:rsidRDefault="00404D6B">
      <w:r>
        <w:separator/>
      </w:r>
    </w:p>
  </w:endnote>
  <w:endnote w:type="continuationSeparator" w:id="0">
    <w:p w:rsidR="00404D6B" w:rsidRDefault="0040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;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6B" w:rsidRDefault="00404D6B">
      <w:r>
        <w:separator/>
      </w:r>
    </w:p>
  </w:footnote>
  <w:footnote w:type="continuationSeparator" w:id="0">
    <w:p w:rsidR="00404D6B" w:rsidRDefault="0040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C4" w:rsidRDefault="000D43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66D5"/>
    <w:multiLevelType w:val="multilevel"/>
    <w:tmpl w:val="68144B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3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C4"/>
    <w:rsid w:val="000D43C4"/>
    <w:rsid w:val="00404D6B"/>
    <w:rsid w:val="00A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DB40B-01D9-4A85-89A6-9449C97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  <w:style w:type="paragraph" w:styleId="1">
    <w:name w:val="heading 1"/>
    <w:basedOn w:val="a0"/>
    <w:next w:val="a1"/>
    <w:qFormat/>
    <w:pPr>
      <w:numPr>
        <w:numId w:val="1"/>
      </w:numPr>
      <w:spacing w:after="0"/>
      <w:outlineLvl w:val="0"/>
    </w:pPr>
  </w:style>
  <w:style w:type="paragraph" w:styleId="2">
    <w:name w:val="heading 2"/>
    <w:basedOn w:val="a0"/>
    <w:next w:val="a2"/>
    <w:qFormat/>
    <w:pPr>
      <w:numPr>
        <w:ilvl w:val="1"/>
        <w:numId w:val="1"/>
      </w:numPr>
      <w:spacing w:after="0"/>
      <w:outlineLvl w:val="1"/>
    </w:pPr>
  </w:style>
  <w:style w:type="paragraph" w:styleId="3">
    <w:name w:val="heading 3"/>
    <w:basedOn w:val="a0"/>
    <w:next w:val="a2"/>
    <w:qFormat/>
    <w:pPr>
      <w:numPr>
        <w:ilvl w:val="2"/>
        <w:numId w:val="1"/>
      </w:numPr>
      <w:spacing w:after="0"/>
      <w:outlineLvl w:val="2"/>
    </w:pPr>
  </w:style>
  <w:style w:type="paragraph" w:styleId="4">
    <w:name w:val="heading 4"/>
    <w:basedOn w:val="a0"/>
    <w:next w:val="a2"/>
    <w:qFormat/>
    <w:pPr>
      <w:numPr>
        <w:ilvl w:val="3"/>
        <w:numId w:val="1"/>
      </w:numPr>
      <w:spacing w:after="0"/>
      <w:outlineLvl w:val="3"/>
    </w:pPr>
  </w:style>
  <w:style w:type="paragraph" w:styleId="5">
    <w:name w:val="heading 5"/>
    <w:basedOn w:val="a0"/>
    <w:next w:val="a2"/>
    <w:qFormat/>
    <w:pPr>
      <w:numPr>
        <w:ilvl w:val="4"/>
        <w:numId w:val="1"/>
      </w:numPr>
      <w:spacing w:after="0"/>
      <w:outlineLvl w:val="4"/>
    </w:pPr>
  </w:style>
  <w:style w:type="paragraph" w:styleId="6">
    <w:name w:val="heading 6"/>
    <w:basedOn w:val="a0"/>
    <w:next w:val="a2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spacing w:after="0"/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spacing w:after="0"/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28008345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9">
    <w:name w:val="Пример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a">
    <w:name w:val="Ввод пользователя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e">
    <w:name w:val="Цветовое выделение для Текст"/>
    <w:qFormat/>
  </w:style>
  <w:style w:type="character" w:customStyle="1" w:styleId="11">
    <w:name w:val="Выделение1"/>
    <w:qFormat/>
    <w:rPr>
      <w:i/>
      <w:iCs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  <w:outlineLvl w:val="8"/>
    </w:pPr>
  </w:style>
  <w:style w:type="paragraph" w:customStyle="1" w:styleId="12">
    <w:name w:val="Начало нумерованного списка 1"/>
    <w:basedOn w:val="aff"/>
    <w:next w:val="40"/>
    <w:qFormat/>
  </w:style>
  <w:style w:type="paragraph" w:styleId="40">
    <w:name w:val="List Bullet 4"/>
    <w:basedOn w:val="aff"/>
    <w:qFormat/>
    <w:pPr>
      <w:spacing w:after="120"/>
      <w:ind w:left="1080" w:hanging="360"/>
    </w:pPr>
  </w:style>
  <w:style w:type="paragraph" w:customStyle="1" w:styleId="13">
    <w:name w:val="Конец нумерованного списка 1"/>
    <w:basedOn w:val="aff"/>
    <w:next w:val="40"/>
    <w:qFormat/>
  </w:style>
  <w:style w:type="paragraph" w:customStyle="1" w:styleId="14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0">
    <w:name w:val="Начало нумерованного списка 3"/>
    <w:basedOn w:val="aff"/>
    <w:next w:val="31"/>
    <w:qFormat/>
  </w:style>
  <w:style w:type="paragraph" w:styleId="31">
    <w:name w:val="List Number 3"/>
    <w:basedOn w:val="aff"/>
    <w:qFormat/>
  </w:style>
  <w:style w:type="paragraph" w:customStyle="1" w:styleId="32">
    <w:name w:val="Конец нумерованного списка 3"/>
    <w:basedOn w:val="aff"/>
    <w:next w:val="31"/>
    <w:qFormat/>
  </w:style>
  <w:style w:type="paragraph" w:customStyle="1" w:styleId="33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5">
    <w:name w:val="Начало маркированного списка 1"/>
    <w:basedOn w:val="aff"/>
    <w:next w:val="34"/>
    <w:qFormat/>
  </w:style>
  <w:style w:type="paragraph" w:styleId="34">
    <w:name w:val="List Bullet 3"/>
    <w:basedOn w:val="aff"/>
    <w:qFormat/>
    <w:pPr>
      <w:spacing w:after="120"/>
      <w:ind w:left="720" w:hanging="360"/>
    </w:pPr>
  </w:style>
  <w:style w:type="paragraph" w:customStyle="1" w:styleId="16">
    <w:name w:val="Конец маркированного списка 1"/>
    <w:basedOn w:val="aff"/>
    <w:next w:val="34"/>
    <w:qFormat/>
  </w:style>
  <w:style w:type="paragraph" w:styleId="aff9">
    <w:name w:val="List Continue"/>
    <w:basedOn w:val="aff"/>
    <w:qFormat/>
  </w:style>
  <w:style w:type="paragraph" w:customStyle="1" w:styleId="24">
    <w:name w:val="Начало маркированного списка 2"/>
    <w:basedOn w:val="aff"/>
    <w:next w:val="34"/>
    <w:qFormat/>
  </w:style>
  <w:style w:type="paragraph" w:customStyle="1" w:styleId="25">
    <w:name w:val="Конец маркированного списка 2"/>
    <w:basedOn w:val="aff"/>
    <w:next w:val="34"/>
    <w:qFormat/>
  </w:style>
  <w:style w:type="paragraph" w:styleId="26">
    <w:name w:val="List Continue 2"/>
    <w:basedOn w:val="aff"/>
    <w:qFormat/>
  </w:style>
  <w:style w:type="paragraph" w:customStyle="1" w:styleId="35">
    <w:name w:val="Начало маркированного списка 3"/>
    <w:basedOn w:val="aff"/>
    <w:next w:val="40"/>
    <w:qFormat/>
  </w:style>
  <w:style w:type="paragraph" w:customStyle="1" w:styleId="36">
    <w:name w:val="Конец маркированного списка 3"/>
    <w:basedOn w:val="aff"/>
    <w:next w:val="40"/>
    <w:qFormat/>
  </w:style>
  <w:style w:type="paragraph" w:styleId="37">
    <w:name w:val="List Continue 3"/>
    <w:basedOn w:val="aff"/>
    <w:qFormat/>
  </w:style>
  <w:style w:type="paragraph" w:customStyle="1" w:styleId="45">
    <w:name w:val="Начало маркированного списка 4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Конец маркированного списка 4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Начало маркированного списка 5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Конец маркированного списка 5"/>
    <w:basedOn w:val="aff"/>
    <w:next w:val="affa"/>
    <w:qFormat/>
  </w:style>
  <w:style w:type="paragraph" w:styleId="57">
    <w:name w:val="List Continue 5"/>
    <w:basedOn w:val="aff"/>
    <w:qFormat/>
  </w:style>
  <w:style w:type="paragraph" w:styleId="17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a heading"/>
    <w:basedOn w:val="a0"/>
    <w:next w:val="18"/>
    <w:qFormat/>
  </w:style>
  <w:style w:type="paragraph" w:styleId="18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a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b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c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overflowPunct w:val="0"/>
    </w:pPr>
    <w:rPr>
      <w:rFonts w:ascii="Arial" w:eastAsia="Calibri" w:hAnsi="Arial" w:cs="Arial"/>
      <w:kern w:val="2"/>
      <w:sz w:val="20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Чернышева Елена Анатольевна</dc:creator>
  <dc:description/>
  <cp:lastModifiedBy>Чернышева Елена Анатольевна</cp:lastModifiedBy>
  <cp:revision>2</cp:revision>
  <cp:lastPrinted>2022-05-26T13:57:00Z</cp:lastPrinted>
  <dcterms:created xsi:type="dcterms:W3CDTF">2023-03-22T03:59:00Z</dcterms:created>
  <dcterms:modified xsi:type="dcterms:W3CDTF">2023-03-22T03:59:00Z</dcterms:modified>
  <dc:language>ru-RU</dc:language>
</cp:coreProperties>
</file>