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967"/>
        <w:gridCol w:w="5388"/>
      </w:tblGrid>
      <w:tr>
        <w:trPr>
          <w:trHeight w:val="1280" w:hRule="atLeast"/>
        </w:trPr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4" w:hanging="0"/>
              <w:jc w:val="center"/>
              <w:outlineLvl w:val="0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УТВЕРЖДЁН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4" w:hanging="1"/>
              <w:jc w:val="center"/>
              <w:outlineLvl w:val="0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решением коллегиального органа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4" w:hanging="1"/>
              <w:jc w:val="center"/>
              <w:outlineLvl w:val="0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 xml:space="preserve">администрации Арсеньевского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4" w:hanging="1"/>
              <w:jc w:val="center"/>
              <w:outlineLvl w:val="0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городского округа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34" w:hanging="0"/>
              <w:jc w:val="center"/>
              <w:outlineLvl w:val="0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kern w:val="0"/>
                <w:szCs w:val="26"/>
                <w:shd w:fill="auto" w:val="clear"/>
                <w:lang w:val="ru-RU" w:bidi="ar-SA"/>
              </w:rPr>
              <w:t xml:space="preserve">От  </w:t>
            </w:r>
            <w:r>
              <w:rPr>
                <w:b/>
                <w:bCs/>
                <w:kern w:val="0"/>
                <w:szCs w:val="26"/>
                <w:u w:val="single"/>
                <w:shd w:fill="auto" w:val="clear"/>
                <w:lang w:val="ru-RU" w:bidi="ar-SA"/>
              </w:rPr>
              <w:t xml:space="preserve">« </w:t>
            </w:r>
            <w:r>
              <w:rPr>
                <w:b/>
                <w:bCs/>
                <w:kern w:val="0"/>
                <w:szCs w:val="26"/>
                <w:u w:val="single"/>
                <w:shd w:fill="auto" w:val="clear"/>
                <w:lang w:val="ru-RU" w:bidi="ar-SA"/>
              </w:rPr>
              <w:t>21</w:t>
            </w:r>
            <w:r>
              <w:rPr>
                <w:b/>
                <w:bCs/>
                <w:kern w:val="0"/>
                <w:szCs w:val="26"/>
                <w:u w:val="single"/>
                <w:shd w:fill="auto" w:val="clear"/>
                <w:lang w:val="ru-RU" w:bidi="ar-SA"/>
              </w:rPr>
              <w:t xml:space="preserve"> » января 2025 года </w:t>
            </w:r>
            <w:r>
              <w:rPr>
                <w:b/>
                <w:bCs/>
                <w:kern w:val="0"/>
                <w:szCs w:val="26"/>
                <w:shd w:fill="auto" w:val="clear"/>
                <w:lang w:val="ru-RU" w:bidi="ar-SA"/>
              </w:rPr>
              <w:t>№</w:t>
            </w:r>
            <w:r>
              <w:rPr>
                <w:b/>
                <w:bCs/>
                <w:kern w:val="0"/>
                <w:szCs w:val="26"/>
                <w:u w:val="single"/>
                <w:shd w:fill="auto" w:val="clear"/>
                <w:lang w:val="ru-RU" w:bidi="ar-SA"/>
              </w:rPr>
              <w:t xml:space="preserve"> 1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360" w:before="0" w:after="0"/>
              <w:ind w:left="33" w:hanging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</w:tr>
    </w:tbl>
    <w:p>
      <w:pPr>
        <w:pStyle w:val="31"/>
        <w:shd w:val="clear" w:color="auto" w:fill="auto"/>
        <w:spacing w:lineRule="auto" w:line="240" w:before="0" w:after="0"/>
        <w:ind w:left="709" w:right="424" w:hanging="0"/>
        <w:jc w:val="center"/>
        <w:rPr/>
      </w:pPr>
      <w:r>
        <w:rPr>
          <w:rStyle w:val="3"/>
          <w:b/>
          <w:color w:val="000000"/>
          <w:sz w:val="26"/>
          <w:szCs w:val="26"/>
        </w:rPr>
        <w:t xml:space="preserve">Доклад об организации </w:t>
      </w:r>
    </w:p>
    <w:p>
      <w:pPr>
        <w:pStyle w:val="31"/>
        <w:shd w:val="clear" w:color="auto" w:fill="auto"/>
        <w:spacing w:lineRule="auto" w:line="240" w:before="0" w:after="0"/>
        <w:ind w:left="709" w:right="424" w:hanging="0"/>
        <w:jc w:val="center"/>
        <w:rPr/>
      </w:pPr>
      <w:r>
        <w:rPr>
          <w:rStyle w:val="3"/>
          <w:b/>
          <w:color w:val="000000"/>
          <w:sz w:val="26"/>
          <w:szCs w:val="26"/>
        </w:rPr>
        <w:t xml:space="preserve">системы внутреннего обеспечения соответствия требованиям антимонопольного законодательства (антимонопольный комплаенс) </w:t>
      </w:r>
    </w:p>
    <w:p>
      <w:pPr>
        <w:pStyle w:val="31"/>
        <w:shd w:val="clear" w:color="auto" w:fill="auto"/>
        <w:spacing w:lineRule="auto" w:line="240" w:before="0" w:after="0"/>
        <w:ind w:left="709" w:right="424" w:hanging="0"/>
        <w:jc w:val="center"/>
        <w:rPr/>
      </w:pPr>
      <w:r>
        <w:rPr>
          <w:rStyle w:val="3"/>
          <w:b/>
          <w:color w:val="000000"/>
          <w:sz w:val="26"/>
          <w:szCs w:val="26"/>
        </w:rPr>
        <w:t>в администрации Арсеньевского городского округа в 2024 году</w:t>
      </w:r>
    </w:p>
    <w:p>
      <w:pPr>
        <w:pStyle w:val="Normal"/>
        <w:tabs>
          <w:tab w:val="clear" w:pos="708"/>
          <w:tab w:val="left" w:pos="8041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/>
      </w:pPr>
      <w:r>
        <w:rPr>
          <w:szCs w:val="26"/>
        </w:rPr>
        <w:t>Положение об антимонопольном комплаенсе</w:t>
      </w:r>
      <w:r>
        <w:rPr>
          <w:bCs/>
          <w:szCs w:val="26"/>
        </w:rPr>
        <w:t xml:space="preserve"> </w:t>
      </w:r>
      <w:r>
        <w:rPr>
          <w:szCs w:val="26"/>
        </w:rPr>
        <w:t>утверждено</w:t>
      </w:r>
      <w:r>
        <w:rPr>
          <w:bCs/>
          <w:szCs w:val="26"/>
        </w:rPr>
        <w:t xml:space="preserve"> распоряжением администрации </w:t>
      </w:r>
      <w:r>
        <w:rPr>
          <w:rStyle w:val="2"/>
          <w:color w:val="000000"/>
        </w:rPr>
        <w:t>Арсеньевского городского округа от 21.05.2020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комплаенс)». Распоряжение размещено в информационно-телекоммуникационной сети «Интернет» на официальном сайте администрации Арсеньевского городского округа (далее – администрация). </w:t>
      </w:r>
    </w:p>
    <w:p>
      <w:pPr>
        <w:pStyle w:val="Normal"/>
        <w:spacing w:lineRule="auto" w:line="360"/>
        <w:ind w:firstLine="567"/>
        <w:rPr>
          <w:szCs w:val="26"/>
        </w:rPr>
      </w:pPr>
      <w:r>
        <w:rPr>
          <w:szCs w:val="26"/>
        </w:rPr>
        <w:t>В целях выявления, оценки и исключения рисков нарушения антимонопольного законодательства в администрации</w:t>
      </w:r>
      <w:r>
        <w:rPr>
          <w:bCs/>
          <w:szCs w:val="26"/>
        </w:rPr>
        <w:t xml:space="preserve"> в 2024 году</w:t>
      </w:r>
      <w:r>
        <w:rPr>
          <w:szCs w:val="26"/>
        </w:rPr>
        <w:t>:</w:t>
      </w:r>
    </w:p>
    <w:p>
      <w:pPr>
        <w:pStyle w:val="Normal"/>
        <w:spacing w:lineRule="auto" w:line="360"/>
        <w:ind w:firstLine="567"/>
        <w:rPr>
          <w:highlight w:val="none"/>
          <w:shd w:fill="auto" w:val="clear"/>
        </w:rPr>
      </w:pPr>
      <w:r>
        <w:rPr>
          <w:szCs w:val="26"/>
          <w:shd w:fill="auto" w:val="clear"/>
        </w:rPr>
        <w:t>- распоряжением</w:t>
      </w:r>
      <w:r>
        <w:rPr>
          <w:spacing w:val="4"/>
          <w:szCs w:val="26"/>
          <w:shd w:fill="auto" w:val="clear"/>
        </w:rPr>
        <w:t xml:space="preserve"> от 13.12.2023 № 325-ра </w:t>
      </w:r>
      <w:r>
        <w:rPr>
          <w:szCs w:val="26"/>
          <w:shd w:fill="auto" w:val="clear"/>
        </w:rPr>
        <w:t xml:space="preserve">утверждена карта комплаенс-рисков и </w:t>
      </w:r>
      <w:r>
        <w:rPr>
          <w:color w:val="000000"/>
          <w:szCs w:val="26"/>
          <w:shd w:fill="auto" w:val="clear"/>
        </w:rPr>
        <w:t>ключевых показателей эффективности функционирования антимонопольного комплаенса в администрации</w:t>
      </w:r>
      <w:r>
        <w:rPr>
          <w:szCs w:val="26"/>
          <w:shd w:fill="auto" w:val="clear"/>
        </w:rPr>
        <w:t xml:space="preserve"> на 2024 год;</w:t>
      </w:r>
    </w:p>
    <w:p>
      <w:pPr>
        <w:pStyle w:val="NormalWeb"/>
        <w:spacing w:lineRule="auto" w:line="360" w:before="0" w:after="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highlight w:val="none"/>
          <w:shd w:fill="auto" w:val="clear"/>
        </w:rPr>
        <w:t>- распоряжением от 13.12.2023 № 324-ра утвержден план мероприятий (дорожная карты) по снижению рисков нарушений антимонопольного законодательства в деятельности администрации на 2024 год;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>- указанные правовые акты размещены на официальном сайте администрации в информационно-телекоммуникационной сети «Интернет»;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szCs w:val="26"/>
        </w:rPr>
      </w:pPr>
      <w:r>
        <w:rPr>
          <w:bCs/>
          <w:szCs w:val="26"/>
        </w:rPr>
        <w:t xml:space="preserve">- проведен анализ наличия предостережений, предупреждений, решений, предписаний, штрафов, жалоб, возбужденных дел управлением федеральной антимонопольной службой по Приморскому краю в отношении администрации.   </w:t>
      </w:r>
    </w:p>
    <w:p>
      <w:pPr>
        <w:pStyle w:val="Normal"/>
        <w:widowControl/>
        <w:spacing w:lineRule="auto" w:line="360"/>
        <w:ind w:firstLine="567"/>
        <w:rPr/>
      </w:pPr>
      <w:r>
        <w:rPr>
          <w:bCs/>
          <w:sz w:val="25"/>
          <w:szCs w:val="25"/>
        </w:rPr>
        <w:t>За 2024 год в управление федеральной антимонопольной службы по Приморскому краю в отношении администрации жалоб не поступало.</w:t>
      </w:r>
    </w:p>
    <w:p>
      <w:pPr>
        <w:pStyle w:val="Normal"/>
        <w:spacing w:lineRule="auto" w:line="360" w:before="0" w:after="0"/>
        <w:contextualSpacing/>
        <w:rPr>
          <w:highlight w:val="none"/>
          <w:shd w:fill="auto" w:val="clear"/>
        </w:rPr>
      </w:pPr>
      <w:r>
        <w:rPr>
          <w:szCs w:val="26"/>
          <w:shd w:fill="auto" w:val="clear"/>
        </w:rPr>
        <w:t xml:space="preserve">В 2024 году Управлением Федеральной антимонопольной службы по Приморскому краю ) в действиях администрации Арсеньевского городского округа выявлены: </w:t>
      </w:r>
    </w:p>
    <w:p>
      <w:pPr>
        <w:pStyle w:val="Normal"/>
        <w:spacing w:lineRule="auto" w:line="360" w:before="0" w:after="0"/>
        <w:contextualSpacing/>
        <w:rPr>
          <w:highlight w:val="none"/>
          <w:shd w:fill="auto" w:val="clear"/>
        </w:rPr>
      </w:pPr>
      <w:r>
        <w:rPr>
          <w:szCs w:val="26"/>
          <w:shd w:fill="auto" w:val="clear"/>
        </w:rPr>
        <w:t>признаки нарушения пункта 7 части 1 статьи 15 Федерального закона от 26.07.2006 № 135-ФЗ «О защите конкуренции» (далее – Закон о защите конкуренции, выразившиеся в предоставлении КГУП «Примтеплоэнерго» незаконной муниципальной преференции в обеспечении конкурентного преимущества указанному хозяйствующему субъекту путем непринятия надлежащих мер по возврату объектов теплоснабжения по договору № 5 от 01.06.2023.</w:t>
      </w:r>
    </w:p>
    <w:p>
      <w:pPr>
        <w:pStyle w:val="Normal"/>
        <w:spacing w:lineRule="auto" w:line="360" w:before="0" w:after="0"/>
        <w:contextualSpacing/>
        <w:rPr>
          <w:highlight w:val="none"/>
          <w:shd w:fill="auto" w:val="clear"/>
        </w:rPr>
      </w:pPr>
      <w:r>
        <w:rPr>
          <w:shd w:fill="auto" w:val="clear"/>
        </w:rPr>
        <w:t xml:space="preserve">предоставление </w:t>
      </w:r>
      <w:r>
        <w:rPr>
          <w:szCs w:val="26"/>
          <w:shd w:fill="auto" w:val="clear"/>
        </w:rPr>
        <w:t xml:space="preserve">незаконной муниципальной преференции в обеспечении конкурентного преимущества </w:t>
      </w:r>
      <w:r>
        <w:rPr>
          <w:shd w:fill="auto" w:val="clear"/>
        </w:rPr>
        <w:t xml:space="preserve">ООО «Водоканал Арсеньев» и ООО «Водосток»  </w:t>
      </w:r>
      <w:r>
        <w:rPr>
          <w:szCs w:val="26"/>
          <w:shd w:fill="auto" w:val="clear"/>
        </w:rPr>
        <w:t>путем непринятия надлежащих мер по возврату объектов водоснабжения, водоотведения и передачи их в аренду в нарушение требований Федеральных законов «О водоснабжении и водоотведении» части 1 статьи 13 Федерального закона от 21.07.2005 № 115-ФЗ «О концессионных соглашениях», а также требований главы 5 Закона о защите конкуренции, ограничивающих конкуренцию на товарном рынке оказания услуг по водоснабжению и водоотведению в границах Арсеньевского городского округа.</w:t>
      </w:r>
    </w:p>
    <w:p>
      <w:pPr>
        <w:pStyle w:val="Normal"/>
        <w:spacing w:lineRule="auto" w:line="360" w:before="0" w:after="0"/>
        <w:contextualSpacing/>
        <w:rPr>
          <w:highlight w:val="none"/>
          <w:shd w:fill="auto" w:val="clear"/>
        </w:rPr>
      </w:pPr>
      <w:r>
        <w:rPr>
          <w:shd w:fill="auto" w:val="clear"/>
        </w:rPr>
        <w:t>Нарушение Управлением имущественных отношений администрации Арсеньевского городского округа ч.1 ст.15 Федерального закона от 26.07.2006 №135-ФЗ «О Защите конкуренции» выразившееся в ограничение доступа на рынок оказания услуг по водоснабжению Арсеньевского городского округа путем принятия постановления Управления имущественных отношений администрации Арсеньевского городского округа от 07.11.2023 года № 927 «Об отмене постановления управления имущественных отношений администрации Арсеньевского городского округа от 15.09.2023 г. № 805 «О согласовании проекта концессионного соглашения в отношении объектов муниципального имущества по водоснабжению на иных условиях».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contextualSpacing/>
        <w:rPr>
          <w:highlight w:val="none"/>
          <w:shd w:fill="auto" w:val="clear"/>
        </w:rPr>
      </w:pPr>
      <w:r>
        <w:rPr>
          <w:szCs w:val="26"/>
          <w:shd w:fill="auto" w:val="clear"/>
        </w:rPr>
        <w:t xml:space="preserve">Приморским УФАС России по результатам рассмотрения материалов, поступивших письмом прокуратуры г. Арсеньева от 14.02.2023 № Исорг-200500009-117-23/-200500009 в действиях администрации Арсеньевского городского округа (далее – Администрация) выявлены признаки нарушения части 1 статьи 17 Федерального закона от 26.07.2006 № 135-ФЗ «О защите конкуренции», выразившиеся в необоснованном проведении конкурса (извещение № </w:t>
      </w:r>
      <w:bookmarkStart w:id="0" w:name="_GoBack"/>
      <w:bookmarkEnd w:id="0"/>
      <w:r>
        <w:rPr>
          <w:szCs w:val="26"/>
          <w:shd w:fill="auto" w:val="clear"/>
        </w:rPr>
        <w:t xml:space="preserve">2000040590000000024) на право заключения концессионного соглашения в отношении сооружения – видовая площадка имени В.К. Арсеньеву, расположенного по адресу: г. Арсеньев, ул. Стахановская, сооружение 2 А, кадастровый номер 25:26:000000:2246, площадью 31081 кв.м. – дело № 025/01/17-548/2023. </w:t>
      </w:r>
    </w:p>
    <w:p>
      <w:pPr>
        <w:pStyle w:val="Normal"/>
        <w:widowControl/>
        <w:spacing w:lineRule="auto" w:line="360"/>
        <w:ind w:firstLine="567"/>
        <w:rPr>
          <w:szCs w:val="26"/>
        </w:rPr>
      </w:pPr>
      <w:r>
        <w:rPr>
          <w:bCs/>
          <w:szCs w:val="26"/>
        </w:rPr>
        <w:t>По сравнению с 2023 годом количество жалоб уменьшилось, предостережения не выдавались, количество решений антимонопольного органа не изменилось, при этом осталось на низком уровне.</w:t>
      </w:r>
    </w:p>
    <w:p>
      <w:pPr>
        <w:pStyle w:val="Normal"/>
        <w:widowControl/>
        <w:spacing w:lineRule="auto" w:line="360"/>
        <w:ind w:firstLine="567"/>
        <w:rPr>
          <w:szCs w:val="26"/>
        </w:rPr>
      </w:pPr>
      <w:r>
        <w:rPr>
          <w:rFonts w:eastAsia="Courier New"/>
          <w:color w:val="000000"/>
          <w:szCs w:val="26"/>
          <w:lang w:bidi="ru-RU"/>
        </w:rPr>
        <w:t>Нарушений требований антимонопольного законодательства при</w:t>
      </w:r>
      <w:r>
        <w:rPr>
          <w:szCs w:val="26"/>
        </w:rPr>
        <w:t xml:space="preserve"> </w:t>
      </w:r>
      <w:r>
        <w:rPr>
          <w:rFonts w:eastAsia="Courier New"/>
          <w:color w:val="000000"/>
          <w:szCs w:val="26"/>
          <w:lang w:bidi="ru-RU"/>
        </w:rPr>
        <w:t>подготовке, согласовании и утверждении нормативных правовых актов не выявлено. Н</w:t>
      </w:r>
      <w:r>
        <w:rPr>
          <w:bCs/>
          <w:szCs w:val="26"/>
        </w:rPr>
        <w:t xml:space="preserve">ормативные правовые акты размещаются на официальном сайте администрации в сети «Интернет». 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szCs w:val="26"/>
        </w:rPr>
      </w:pPr>
      <w:r>
        <w:rPr>
          <w:bCs/>
          <w:szCs w:val="26"/>
        </w:rPr>
        <w:t xml:space="preserve">Проанализированы и определены виды рисков, причины и условия их возникновения, регулярно изучается правоприменительная практика. 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color w:val="auto"/>
        </w:rPr>
      </w:pPr>
      <w:r>
        <w:rPr>
          <w:b w:val="false"/>
          <w:bCs w:val="false"/>
          <w:color w:val="auto"/>
          <w:szCs w:val="26"/>
        </w:rPr>
        <w:t>В целях профилактики нарушений требований антимонопольного законодательства мероприятия «дорожной карты» по снижению комплаенс-рисков, утвержденные распоряжением администрации от 13.12.2023 № 324-ра на 2024 год, выполнялись в течении года на постоянной основе.</w:t>
      </w:r>
    </w:p>
    <w:p>
      <w:pPr>
        <w:pStyle w:val="Normal"/>
        <w:widowControl/>
        <w:spacing w:lineRule="auto" w:line="360"/>
        <w:ind w:firstLine="567"/>
        <w:rPr/>
      </w:pPr>
      <w:r>
        <w:rPr>
          <w:b w:val="false"/>
          <w:bCs w:val="false"/>
          <w:color w:val="auto"/>
          <w:szCs w:val="26"/>
        </w:rPr>
        <w:t>На основании Положения об антимонопольном комплаенсе проведена оценка значений ключевых показателей на предмет достижения результатов, установленных распоряжением администрации от 13</w:t>
      </w:r>
      <w:r>
        <w:rPr>
          <w:rStyle w:val="2"/>
          <w:b w:val="false"/>
          <w:bCs w:val="false"/>
          <w:color w:val="auto"/>
        </w:rPr>
        <w:t>.12.2023 года № 325-ра</w:t>
      </w:r>
      <w:r>
        <w:rPr>
          <w:b w:val="false"/>
          <w:bCs w:val="false"/>
          <w:color w:val="auto"/>
          <w:szCs w:val="26"/>
        </w:rPr>
        <w:t xml:space="preserve"> «Об утверждении карты комплаенс-рисков и ключевых показателей эффективности функционирования антимонопольного комплаенса администрации Арсеньевского городского округа на 2024 год» и установлено:</w:t>
      </w:r>
    </w:p>
    <w:tbl>
      <w:tblPr>
        <w:tblW w:w="964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6"/>
        <w:gridCol w:w="5537"/>
        <w:gridCol w:w="1654"/>
        <w:gridCol w:w="1643"/>
      </w:tblGrid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40" w:before="0" w:after="60"/>
              <w:ind w:left="300" w:hanging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40" w:before="60" w:after="0"/>
              <w:ind w:left="200" w:hanging="0"/>
              <w:jc w:val="left"/>
              <w:rPr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п/п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40"/>
              <w:ind w:hanging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Ключевые показатели эффективности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hanging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Показатель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274"/>
              <w:ind w:hanging="0"/>
              <w:jc w:val="center"/>
              <w:rPr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Показатель за 2024 г.</w:t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/>
              <w:ind w:left="300" w:hanging="0"/>
              <w:jc w:val="left"/>
              <w:rPr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hanging="0"/>
              <w:rPr>
                <w:szCs w:val="26"/>
              </w:rPr>
            </w:pPr>
            <w:r>
              <w:rPr>
                <w:color w:val="000000"/>
                <w:szCs w:val="26"/>
              </w:rPr>
              <w:t>Доля проектов нормативных правовых актов, разработчиком которых является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Не выявлены</w:t>
            </w:r>
          </w:p>
        </w:tc>
      </w:tr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/>
              <w:ind w:left="300" w:hanging="0"/>
              <w:jc w:val="left"/>
              <w:rPr>
                <w:szCs w:val="26"/>
              </w:rPr>
            </w:pPr>
            <w:r>
              <w:rPr>
                <w:color w:val="000000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hd w:val="clear" w:color="auto" w:fill="FFFFFF"/>
              <w:spacing w:lineRule="exact" w:line="322"/>
              <w:ind w:left="0" w:hanging="0"/>
              <w:outlineLvl w:val="0"/>
              <w:rPr>
                <w:szCs w:val="26"/>
              </w:rPr>
            </w:pPr>
            <w:r>
              <w:rPr>
                <w:color w:val="000000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Не более 10%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Не выявлены</w:t>
            </w:r>
          </w:p>
        </w:tc>
      </w:tr>
      <w:tr>
        <w:trPr>
          <w:trHeight w:val="1289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/>
              <w:ind w:left="300" w:hanging="0"/>
              <w:jc w:val="left"/>
              <w:rPr>
                <w:szCs w:val="26"/>
              </w:rPr>
            </w:pPr>
            <w:r>
              <w:rPr>
                <w:color w:val="000000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szCs w:val="26"/>
              </w:rPr>
            </w:pPr>
            <w:r>
              <w:rPr>
                <w:rFonts w:eastAsia="Calibri" w:eastAsiaTheme="minorHAnsi"/>
                <w:bCs/>
                <w:color w:val="000000"/>
                <w:szCs w:val="26"/>
                <w:lang w:eastAsia="en-US"/>
              </w:rPr>
              <w:t>Коэффициент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50 %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  <w:lang w:eastAsia="en-US"/>
              </w:rPr>
              <w:t>50 %              (с 2023 г.)</w:t>
            </w:r>
          </w:p>
        </w:tc>
      </w:tr>
    </w:tbl>
    <w:p>
      <w:pPr>
        <w:pStyle w:val="Normal"/>
        <w:shd w:val="clear" w:color="auto" w:fill="FFFFFF"/>
        <w:spacing w:lineRule="exact" w:line="298"/>
        <w:ind w:left="540" w:hanging="0"/>
        <w:jc w:val="center"/>
        <w:rPr>
          <w:b/>
          <w:szCs w:val="26"/>
          <w:shd w:fill="FFFFFF" w:val="clear"/>
        </w:rPr>
      </w:pPr>
      <w:r>
        <w:rPr>
          <w:b/>
          <w:szCs w:val="26"/>
          <w:shd w:fill="FFFFFF" w:val="clear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 xml:space="preserve">По итогам оценки </w:t>
      </w:r>
      <w:r>
        <w:rPr>
          <w:color w:val="000000"/>
          <w:szCs w:val="26"/>
        </w:rPr>
        <w:t>ключевых показателей</w:t>
      </w:r>
      <w:r>
        <w:rPr>
          <w:szCs w:val="26"/>
        </w:rPr>
        <w:t xml:space="preserve"> уровень эффективности функционирования антимонопольного комплаенса в администрации в 2024 году является высоким. 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567"/>
        <w:rPr>
          <w:color w:val="auto"/>
        </w:rPr>
      </w:pPr>
      <w:r>
        <w:rPr>
          <w:bCs/>
          <w:color w:val="auto"/>
          <w:szCs w:val="26"/>
        </w:rPr>
        <w:t xml:space="preserve">Распоряжением администрации от 17.01.2025 № 6-ра утвержден план мероприятий (дорожная карта) по снижению рисков нарушений антимонопольного законодательства в администрации на 2025 год, распоряжением администрации от 17.01.2025 № 5-ра утверждены карта комплаенс-рисков, ключевые показатели эффективности функционирования антимонопольного комплаенса в администрации на 2025 год. Указанные правовые акты размещены на официальном сайте администрации. </w:t>
      </w:r>
    </w:p>
    <w:p>
      <w:pPr>
        <w:pStyle w:val="Normal"/>
        <w:widowControl/>
        <w:spacing w:lineRule="auto" w:line="360"/>
        <w:ind w:firstLine="567"/>
        <w:rPr>
          <w:bCs/>
          <w:szCs w:val="26"/>
        </w:rPr>
      </w:pPr>
      <w:r>
        <w:rPr>
          <w:bCs/>
          <w:szCs w:val="26"/>
        </w:rPr>
      </w:r>
    </w:p>
    <w:p>
      <w:pPr>
        <w:pStyle w:val="Normal"/>
        <w:tabs>
          <w:tab w:val="clear" w:pos="708"/>
          <w:tab w:val="left" w:pos="1245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1245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1245" w:leader="none"/>
        </w:tabs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1245" w:leader="none"/>
        </w:tabs>
        <w:ind w:hanging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В.С. Пивень</w:t>
      </w:r>
    </w:p>
    <w:sectPr>
      <w:type w:val="nextPage"/>
      <w:pgSz w:w="11906" w:h="16838"/>
      <w:pgMar w:left="1560" w:right="850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3a8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_"/>
    <w:qFormat/>
    <w:rsid w:val="00843a82"/>
    <w:rPr>
      <w:b/>
      <w:bCs/>
      <w:sz w:val="28"/>
      <w:szCs w:val="28"/>
      <w:lang w:bidi="ar-SA"/>
    </w:rPr>
  </w:style>
  <w:style w:type="character" w:styleId="2" w:customStyle="1">
    <w:name w:val="Основной текст (2)_"/>
    <w:qFormat/>
    <w:rsid w:val="00843a82"/>
    <w:rPr>
      <w:sz w:val="26"/>
      <w:szCs w:val="26"/>
      <w:lang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1" w:customStyle="1">
    <w:name w:val="Основной текст (3)1"/>
    <w:basedOn w:val="Normal"/>
    <w:qFormat/>
    <w:rsid w:val="00843a82"/>
    <w:pPr>
      <w:shd w:val="clear" w:color="auto" w:fill="FFFFFF"/>
      <w:spacing w:lineRule="atLeast" w:line="240" w:before="420" w:after="120"/>
    </w:pPr>
    <w:rPr>
      <w:b/>
      <w:bCs/>
      <w:sz w:val="28"/>
      <w:szCs w:val="28"/>
    </w:rPr>
  </w:style>
  <w:style w:type="paragraph" w:styleId="NormalWeb">
    <w:name w:val="Normal (Web)"/>
    <w:basedOn w:val="Normal"/>
    <w:qFormat/>
    <w:rsid w:val="000b37bb"/>
    <w:pPr>
      <w:widowControl/>
      <w:spacing w:lineRule="auto" w:line="259" w:before="100" w:after="100"/>
      <w:ind w:hanging="0"/>
      <w:jc w:val="left"/>
    </w:pPr>
    <w:rPr>
      <w:rFonts w:ascii="Calibri" w:hAnsi="Calibri" w:eastAsia="Calibri" w:cs="Calibri"/>
      <w:sz w:val="22"/>
      <w:szCs w:val="22"/>
      <w:highlight w:val="white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43a82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2A7F-695F-4D95-A447-4191F20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Application>LibreOffice/7.5.2.1$Linux_X86_64 LibreOffice_project/50$Build-1</Application>
  <AppVersion>15.0000</AppVersion>
  <Pages>4</Pages>
  <Words>777</Words>
  <Characters>5989</Characters>
  <CharactersWithSpaces>6835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2022-11-25T04:50:00Z</dcterms:created>
  <dc:creator>Андроняк Ольга Петровна</dc:creator>
  <dc:description/>
  <dc:language>ru-RU</dc:language>
  <cp:lastModifiedBy/>
  <cp:lastPrinted>2025-01-22T11:31:49Z</cp:lastPrinted>
  <dcterms:modified xsi:type="dcterms:W3CDTF">2025-01-22T11:36:58Z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