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EF2FCF" w:rsidTr="00EF2FCF">
        <w:tc>
          <w:tcPr>
            <w:tcW w:w="9853" w:type="dxa"/>
          </w:tcPr>
          <w:p w:rsidR="00EF2FCF" w:rsidRDefault="007E1E26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 wp14:anchorId="274030C8" wp14:editId="649C3D53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ind w:firstLine="0"/>
        <w:sectPr w:rsidR="00E276F2" w:rsidSect="001D4924">
          <w:footerReference w:type="default" r:id="rId8"/>
          <w:footerReference w:type="first" r:id="rId9"/>
          <w:pgSz w:w="11906" w:h="16838" w:code="9"/>
          <w:pgMar w:top="403" w:right="851" w:bottom="1134" w:left="1418" w:header="113" w:footer="34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7E1E26">
            <w:pPr>
              <w:snapToGrid w:val="0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мая 2020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7E1E26">
            <w:pPr>
              <w:snapToGrid w:val="0"/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267-па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2D2D71" w:rsidRDefault="002D2D71" w:rsidP="00E3424B">
      <w:pPr>
        <w:ind w:firstLine="0"/>
        <w:jc w:val="center"/>
        <w:outlineLvl w:val="0"/>
        <w:rPr>
          <w:b/>
          <w:spacing w:val="-1"/>
          <w:szCs w:val="26"/>
        </w:rPr>
      </w:pPr>
    </w:p>
    <w:p w:rsidR="00EB1D32" w:rsidRDefault="006B0280" w:rsidP="00C02924">
      <w:pPr>
        <w:ind w:firstLine="0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>О внесении изменений в постановление администрации Арсен</w:t>
      </w:r>
      <w:r w:rsidR="004F4A09">
        <w:rPr>
          <w:b/>
          <w:spacing w:val="-1"/>
          <w:szCs w:val="26"/>
        </w:rPr>
        <w:t>ьевского городского округа от 04 февраля 2020 года № 70</w:t>
      </w:r>
      <w:r>
        <w:rPr>
          <w:b/>
          <w:spacing w:val="-1"/>
          <w:szCs w:val="26"/>
        </w:rPr>
        <w:t>-па «</w:t>
      </w:r>
      <w:r w:rsidR="00C02924">
        <w:rPr>
          <w:b/>
          <w:spacing w:val="-1"/>
          <w:szCs w:val="26"/>
        </w:rPr>
        <w:t>Об утверждении з</w:t>
      </w:r>
      <w:r w:rsidR="00C02924" w:rsidRPr="00C02924">
        <w:rPr>
          <w:b/>
          <w:spacing w:val="-1"/>
          <w:szCs w:val="26"/>
        </w:rPr>
        <w:t>начения натуральных норм, необходимых для определения базового</w:t>
      </w:r>
      <w:r w:rsidR="00C02924">
        <w:rPr>
          <w:b/>
          <w:spacing w:val="-1"/>
          <w:szCs w:val="26"/>
        </w:rPr>
        <w:t xml:space="preserve"> </w:t>
      </w:r>
      <w:r w:rsidR="00C02924" w:rsidRPr="00C02924">
        <w:rPr>
          <w:b/>
          <w:spacing w:val="-1"/>
          <w:szCs w:val="26"/>
        </w:rPr>
        <w:t>норматива затрат на оказание муниципальн</w:t>
      </w:r>
      <w:r w:rsidR="00C02924">
        <w:rPr>
          <w:b/>
          <w:spacing w:val="-1"/>
          <w:szCs w:val="26"/>
        </w:rPr>
        <w:t>ых услуг,</w:t>
      </w:r>
      <w:r w:rsidR="00C02924" w:rsidRPr="00C02924">
        <w:rPr>
          <w:b/>
          <w:spacing w:val="-1"/>
          <w:szCs w:val="26"/>
        </w:rPr>
        <w:t xml:space="preserve"> оказываемы</w:t>
      </w:r>
      <w:r w:rsidR="00C02924">
        <w:rPr>
          <w:b/>
          <w:spacing w:val="-1"/>
          <w:szCs w:val="26"/>
        </w:rPr>
        <w:t>х муниципаль</w:t>
      </w:r>
      <w:r w:rsidR="00C02924" w:rsidRPr="00C02924">
        <w:rPr>
          <w:b/>
          <w:spacing w:val="-1"/>
          <w:szCs w:val="26"/>
        </w:rPr>
        <w:t>ным бюджетным учреждением «Специализир</w:t>
      </w:r>
      <w:r w:rsidR="00C02924">
        <w:rPr>
          <w:b/>
          <w:spacing w:val="-1"/>
          <w:szCs w:val="26"/>
        </w:rPr>
        <w:t>ованная служба Арсеньевского го</w:t>
      </w:r>
      <w:r w:rsidR="00C02924" w:rsidRPr="00C02924">
        <w:rPr>
          <w:b/>
          <w:spacing w:val="-1"/>
          <w:szCs w:val="26"/>
        </w:rPr>
        <w:t>родского округа»</w:t>
      </w:r>
      <w:r w:rsidR="00292885">
        <w:rPr>
          <w:b/>
          <w:spacing w:val="-1"/>
          <w:szCs w:val="26"/>
        </w:rPr>
        <w:t>, з</w:t>
      </w:r>
      <w:r w:rsidR="00292885" w:rsidRPr="00292885">
        <w:rPr>
          <w:b/>
          <w:spacing w:val="-1"/>
          <w:szCs w:val="26"/>
        </w:rPr>
        <w:t>начения базового норматива затрат на оказание муниципальных услуг и значения корректирующих коэффициентов к базовому нормативу затрат</w:t>
      </w:r>
    </w:p>
    <w:p w:rsidR="00E3424B" w:rsidRPr="00C02924" w:rsidRDefault="00292885" w:rsidP="00C02924">
      <w:pPr>
        <w:ind w:firstLine="0"/>
        <w:jc w:val="center"/>
        <w:outlineLvl w:val="0"/>
        <w:rPr>
          <w:b/>
          <w:spacing w:val="-1"/>
          <w:szCs w:val="26"/>
        </w:rPr>
      </w:pPr>
      <w:r w:rsidRPr="00292885">
        <w:rPr>
          <w:b/>
          <w:spacing w:val="-1"/>
          <w:szCs w:val="26"/>
        </w:rPr>
        <w:t xml:space="preserve"> </w:t>
      </w:r>
      <w:r w:rsidR="004F4A09">
        <w:rPr>
          <w:b/>
          <w:spacing w:val="-1"/>
          <w:szCs w:val="26"/>
        </w:rPr>
        <w:t>на 2020</w:t>
      </w:r>
      <w:r w:rsidR="00C02924" w:rsidRPr="00C02924">
        <w:rPr>
          <w:b/>
          <w:spacing w:val="-1"/>
          <w:szCs w:val="26"/>
        </w:rPr>
        <w:t xml:space="preserve"> год</w:t>
      </w:r>
      <w:r w:rsidR="006B0280">
        <w:rPr>
          <w:b/>
          <w:spacing w:val="-1"/>
          <w:szCs w:val="26"/>
        </w:rPr>
        <w:t>»</w:t>
      </w:r>
    </w:p>
    <w:p w:rsidR="00571174" w:rsidRPr="002D2D71" w:rsidRDefault="00571174" w:rsidP="00E3424B">
      <w:pPr>
        <w:ind w:firstLine="0"/>
        <w:jc w:val="center"/>
        <w:outlineLvl w:val="0"/>
        <w:rPr>
          <w:b/>
          <w:spacing w:val="-1"/>
          <w:szCs w:val="26"/>
        </w:rPr>
      </w:pPr>
    </w:p>
    <w:p w:rsidR="002D2D71" w:rsidRDefault="002D2D71" w:rsidP="00571174">
      <w:pPr>
        <w:spacing w:line="360" w:lineRule="auto"/>
        <w:ind w:firstLine="0"/>
        <w:outlineLvl w:val="0"/>
        <w:rPr>
          <w:spacing w:val="-6"/>
          <w:szCs w:val="26"/>
        </w:rPr>
      </w:pPr>
    </w:p>
    <w:p w:rsidR="00571174" w:rsidRPr="002D2D71" w:rsidRDefault="00571174" w:rsidP="004F4A09">
      <w:pPr>
        <w:spacing w:line="360" w:lineRule="auto"/>
        <w:ind w:firstLine="567"/>
        <w:outlineLvl w:val="0"/>
        <w:rPr>
          <w:bCs/>
          <w:szCs w:val="26"/>
        </w:rPr>
      </w:pPr>
      <w:r w:rsidRPr="002D2D71">
        <w:rPr>
          <w:spacing w:val="-6"/>
          <w:szCs w:val="26"/>
        </w:rPr>
        <w:t xml:space="preserve">В целях </w:t>
      </w:r>
      <w:r w:rsidRPr="002D2D71">
        <w:rPr>
          <w:szCs w:val="26"/>
        </w:rPr>
        <w:t>организации мероприятий по благоустройству территории Арсеньевского городского округа</w:t>
      </w:r>
      <w:r w:rsidRPr="002D2D71">
        <w:rPr>
          <w:spacing w:val="-6"/>
          <w:szCs w:val="26"/>
        </w:rPr>
        <w:t xml:space="preserve">, на основании Федеральных законов </w:t>
      </w:r>
      <w:r w:rsidRPr="002D2D71">
        <w:rPr>
          <w:szCs w:val="26"/>
        </w:rPr>
        <w:t xml:space="preserve">от 06 октября 2003 года </w:t>
      </w:r>
      <w:r w:rsidR="00305355">
        <w:rPr>
          <w:szCs w:val="26"/>
        </w:rPr>
        <w:t xml:space="preserve">                   </w:t>
      </w:r>
      <w:r w:rsidRPr="002D2D71">
        <w:rPr>
          <w:szCs w:val="26"/>
        </w:rPr>
        <w:t>№ 131-ФЗ «Об общих принципах организации местного самоуправления в Российской Федерации», в соответствии</w:t>
      </w:r>
      <w:r w:rsidR="00C02924">
        <w:rPr>
          <w:szCs w:val="26"/>
        </w:rPr>
        <w:t xml:space="preserve">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</w:t>
      </w:r>
      <w:r w:rsidR="005F7552" w:rsidRPr="002D2D71">
        <w:rPr>
          <w:spacing w:val="-1"/>
          <w:szCs w:val="26"/>
        </w:rPr>
        <w:t>,</w:t>
      </w:r>
      <w:r w:rsidR="00FB6253">
        <w:rPr>
          <w:spacing w:val="-1"/>
          <w:szCs w:val="26"/>
        </w:rPr>
        <w:t xml:space="preserve"> постановлением</w:t>
      </w:r>
      <w:r w:rsidR="0076742F">
        <w:rPr>
          <w:spacing w:val="-1"/>
          <w:szCs w:val="26"/>
        </w:rPr>
        <w:t xml:space="preserve"> администрации Арсеньевского городского округа от 08 октября 2015 года № 750-па</w:t>
      </w:r>
      <w:r w:rsidR="00305355">
        <w:rPr>
          <w:spacing w:val="-1"/>
          <w:szCs w:val="26"/>
        </w:rPr>
        <w:t xml:space="preserve">      «</w:t>
      </w:r>
      <w:r w:rsidR="00305355" w:rsidRPr="00305355">
        <w:rPr>
          <w:spacing w:val="-1"/>
          <w:szCs w:val="26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305355">
        <w:rPr>
          <w:spacing w:val="-1"/>
          <w:szCs w:val="26"/>
        </w:rPr>
        <w:t>»</w:t>
      </w:r>
      <w:r w:rsidR="0076742F">
        <w:rPr>
          <w:spacing w:val="-1"/>
          <w:szCs w:val="26"/>
        </w:rPr>
        <w:t xml:space="preserve">, </w:t>
      </w:r>
      <w:r w:rsidRPr="002D2D71">
        <w:rPr>
          <w:spacing w:val="-6"/>
          <w:szCs w:val="26"/>
        </w:rPr>
        <w:t xml:space="preserve">руководствуясь </w:t>
      </w:r>
      <w:r w:rsidR="00ED2260">
        <w:rPr>
          <w:spacing w:val="-6"/>
          <w:szCs w:val="26"/>
        </w:rPr>
        <w:t>Уставом</w:t>
      </w:r>
      <w:r w:rsidRPr="002D2D71">
        <w:rPr>
          <w:spacing w:val="-6"/>
          <w:szCs w:val="26"/>
        </w:rPr>
        <w:t xml:space="preserve"> </w:t>
      </w:r>
      <w:r w:rsidRPr="002D2D71">
        <w:rPr>
          <w:szCs w:val="26"/>
        </w:rPr>
        <w:t xml:space="preserve">Арсеньевского городского округа, </w:t>
      </w:r>
      <w:r w:rsidRPr="002D2D71">
        <w:rPr>
          <w:spacing w:val="-1"/>
          <w:szCs w:val="26"/>
        </w:rPr>
        <w:t>администрация Арсеньевского городского округа</w:t>
      </w:r>
    </w:p>
    <w:p w:rsidR="0043026D" w:rsidRPr="002D2D71" w:rsidRDefault="0043026D" w:rsidP="004F4A09">
      <w:pPr>
        <w:spacing w:line="360" w:lineRule="auto"/>
        <w:ind w:firstLine="567"/>
        <w:rPr>
          <w:spacing w:val="-6"/>
          <w:szCs w:val="26"/>
        </w:rPr>
      </w:pPr>
    </w:p>
    <w:p w:rsidR="0043026D" w:rsidRDefault="00571174" w:rsidP="004F4A09">
      <w:pPr>
        <w:spacing w:line="360" w:lineRule="auto"/>
        <w:ind w:firstLine="567"/>
        <w:outlineLvl w:val="0"/>
        <w:rPr>
          <w:bCs/>
          <w:spacing w:val="-6"/>
          <w:szCs w:val="26"/>
        </w:rPr>
      </w:pPr>
      <w:r w:rsidRPr="002D2D71">
        <w:rPr>
          <w:bCs/>
          <w:spacing w:val="-6"/>
          <w:szCs w:val="26"/>
        </w:rPr>
        <w:t>ПОСТАНОВЛЯЕТ:</w:t>
      </w:r>
    </w:p>
    <w:p w:rsidR="002D2D71" w:rsidRPr="002D2D71" w:rsidRDefault="002D2D71" w:rsidP="004F4A09">
      <w:pPr>
        <w:spacing w:line="360" w:lineRule="auto"/>
        <w:ind w:firstLine="567"/>
        <w:outlineLvl w:val="0"/>
        <w:rPr>
          <w:bCs/>
          <w:spacing w:val="-6"/>
          <w:szCs w:val="26"/>
        </w:rPr>
      </w:pPr>
    </w:p>
    <w:p w:rsidR="00463D0C" w:rsidRDefault="00F83AB2" w:rsidP="004F4A09">
      <w:pPr>
        <w:spacing w:line="360" w:lineRule="auto"/>
        <w:ind w:firstLine="567"/>
        <w:rPr>
          <w:bCs/>
          <w:szCs w:val="26"/>
        </w:rPr>
      </w:pPr>
      <w:r>
        <w:rPr>
          <w:bCs/>
          <w:szCs w:val="26"/>
        </w:rPr>
        <w:t>1.</w:t>
      </w:r>
      <w:r w:rsidRPr="004F4A09">
        <w:rPr>
          <w:bCs/>
          <w:szCs w:val="26"/>
        </w:rPr>
        <w:t xml:space="preserve"> </w:t>
      </w:r>
      <w:r w:rsidR="006B0280" w:rsidRPr="004F4A09">
        <w:rPr>
          <w:bCs/>
          <w:szCs w:val="26"/>
        </w:rPr>
        <w:t xml:space="preserve">Внести в </w:t>
      </w:r>
      <w:r w:rsidR="00770A00">
        <w:rPr>
          <w:bCs/>
          <w:szCs w:val="26"/>
        </w:rPr>
        <w:t>З</w:t>
      </w:r>
      <w:r w:rsidR="004F4A09" w:rsidRPr="004F4A09">
        <w:rPr>
          <w:spacing w:val="-1"/>
          <w:szCs w:val="26"/>
        </w:rPr>
        <w:t xml:space="preserve">начения натуральных норм, необходимых для определения базового норматива затрат на оказание муниципальных услуг, оказываемых муниципальным </w:t>
      </w:r>
      <w:r w:rsidR="004F4A09" w:rsidRPr="004F4A09">
        <w:rPr>
          <w:spacing w:val="-1"/>
          <w:szCs w:val="26"/>
        </w:rPr>
        <w:lastRenderedPageBreak/>
        <w:t>бюджетным учреждением «Специализированная служба Арс</w:t>
      </w:r>
      <w:r w:rsidR="00770A00">
        <w:rPr>
          <w:spacing w:val="-1"/>
          <w:szCs w:val="26"/>
        </w:rPr>
        <w:t>еньевского городского округа», З</w:t>
      </w:r>
      <w:r w:rsidR="004F4A09" w:rsidRPr="004F4A09">
        <w:rPr>
          <w:spacing w:val="-1"/>
          <w:szCs w:val="26"/>
        </w:rPr>
        <w:t>начения базового норматива затрат на оказание муниципальных услуг</w:t>
      </w:r>
      <w:r w:rsidR="00770A00">
        <w:rPr>
          <w:spacing w:val="-1"/>
          <w:szCs w:val="26"/>
        </w:rPr>
        <w:t>,</w:t>
      </w:r>
      <w:r w:rsidR="00770A00" w:rsidRPr="00770A00">
        <w:rPr>
          <w:spacing w:val="-1"/>
          <w:szCs w:val="26"/>
        </w:rPr>
        <w:t xml:space="preserve"> оказываемых муниципальным бюджетным учреждением «Специализированная служба Арсеньевского городского округа»</w:t>
      </w:r>
      <w:r w:rsidR="00770A00">
        <w:rPr>
          <w:spacing w:val="-1"/>
          <w:szCs w:val="26"/>
        </w:rPr>
        <w:t xml:space="preserve"> на 2020 год, утвержденные п</w:t>
      </w:r>
      <w:r w:rsidR="00770A00" w:rsidRPr="00770A00">
        <w:rPr>
          <w:spacing w:val="-1"/>
          <w:szCs w:val="26"/>
        </w:rPr>
        <w:t>остановление</w:t>
      </w:r>
      <w:r w:rsidR="00770A00">
        <w:rPr>
          <w:spacing w:val="-1"/>
          <w:szCs w:val="26"/>
        </w:rPr>
        <w:t>м</w:t>
      </w:r>
      <w:r w:rsidR="00770A00" w:rsidRPr="00770A00">
        <w:rPr>
          <w:spacing w:val="-1"/>
          <w:szCs w:val="26"/>
        </w:rPr>
        <w:t xml:space="preserve"> администрации Арсеньевского городского округа от 04 февраля 2020 года № 70-па </w:t>
      </w:r>
      <w:r w:rsidR="00373A3F">
        <w:rPr>
          <w:spacing w:val="-1"/>
          <w:szCs w:val="26"/>
        </w:rPr>
        <w:t>(в редакции постановления администрации Арсеньевского городского округа от 13 апреля 2020 года № 207-па)</w:t>
      </w:r>
      <w:r w:rsidR="00770A00">
        <w:rPr>
          <w:spacing w:val="-1"/>
          <w:szCs w:val="26"/>
        </w:rPr>
        <w:t>,</w:t>
      </w:r>
      <w:r w:rsidR="00EB1D32">
        <w:rPr>
          <w:spacing w:val="-1"/>
          <w:szCs w:val="26"/>
        </w:rPr>
        <w:t xml:space="preserve"> </w:t>
      </w:r>
      <w:r w:rsidR="00C576A8">
        <w:rPr>
          <w:spacing w:val="-1"/>
          <w:szCs w:val="26"/>
        </w:rPr>
        <w:t>изменения</w:t>
      </w:r>
      <w:r w:rsidR="00EB1D32">
        <w:rPr>
          <w:spacing w:val="-1"/>
          <w:szCs w:val="26"/>
        </w:rPr>
        <w:t>, изложив</w:t>
      </w:r>
      <w:r w:rsidR="00463D0C">
        <w:rPr>
          <w:bCs/>
          <w:szCs w:val="26"/>
        </w:rPr>
        <w:t>:</w:t>
      </w:r>
    </w:p>
    <w:p w:rsidR="00F83AB2" w:rsidRDefault="00463D0C" w:rsidP="004F4A09">
      <w:pPr>
        <w:spacing w:line="360" w:lineRule="auto"/>
        <w:ind w:firstLine="567"/>
        <w:rPr>
          <w:bCs/>
          <w:szCs w:val="26"/>
        </w:rPr>
      </w:pPr>
      <w:r>
        <w:rPr>
          <w:bCs/>
          <w:szCs w:val="26"/>
        </w:rPr>
        <w:t>1.1.</w:t>
      </w:r>
      <w:r w:rsidR="00EB1D32">
        <w:rPr>
          <w:bCs/>
          <w:szCs w:val="26"/>
        </w:rPr>
        <w:t xml:space="preserve"> З</w:t>
      </w:r>
      <w:r w:rsidR="00C02924" w:rsidRPr="00C02924">
        <w:rPr>
          <w:bCs/>
          <w:szCs w:val="26"/>
        </w:rPr>
        <w:t>начения натуральных норм, необходимых для определения базового</w:t>
      </w:r>
      <w:r w:rsidR="00C02924">
        <w:rPr>
          <w:bCs/>
          <w:szCs w:val="26"/>
        </w:rPr>
        <w:t xml:space="preserve"> </w:t>
      </w:r>
      <w:r w:rsidR="00C02924" w:rsidRPr="00C02924">
        <w:rPr>
          <w:bCs/>
          <w:szCs w:val="26"/>
        </w:rPr>
        <w:t>норматива затрат на оказание муниципаль</w:t>
      </w:r>
      <w:r w:rsidR="00C02924">
        <w:rPr>
          <w:bCs/>
          <w:szCs w:val="26"/>
        </w:rPr>
        <w:t>ных</w:t>
      </w:r>
      <w:r w:rsidR="00C02924" w:rsidRPr="00C02924">
        <w:rPr>
          <w:bCs/>
          <w:szCs w:val="26"/>
        </w:rPr>
        <w:t xml:space="preserve"> услуг</w:t>
      </w:r>
      <w:r w:rsidR="00C02924">
        <w:rPr>
          <w:bCs/>
          <w:szCs w:val="26"/>
        </w:rPr>
        <w:t>,</w:t>
      </w:r>
      <w:r w:rsidR="00C02924" w:rsidRPr="00C02924">
        <w:rPr>
          <w:bCs/>
          <w:szCs w:val="26"/>
        </w:rPr>
        <w:t xml:space="preserve"> оказываемы</w:t>
      </w:r>
      <w:r w:rsidR="00C02924">
        <w:rPr>
          <w:bCs/>
          <w:szCs w:val="26"/>
        </w:rPr>
        <w:t>х муниципаль</w:t>
      </w:r>
      <w:r w:rsidR="00C02924" w:rsidRPr="00C02924">
        <w:rPr>
          <w:bCs/>
          <w:szCs w:val="26"/>
        </w:rPr>
        <w:t>ным бюджетным учреждением «Специализир</w:t>
      </w:r>
      <w:r w:rsidR="00C02924">
        <w:rPr>
          <w:bCs/>
          <w:szCs w:val="26"/>
        </w:rPr>
        <w:t>ованная служба Арсеньевского го</w:t>
      </w:r>
      <w:r w:rsidR="00C02924" w:rsidRPr="00C02924">
        <w:rPr>
          <w:bCs/>
          <w:szCs w:val="26"/>
        </w:rPr>
        <w:t>родского округа»</w:t>
      </w:r>
      <w:r w:rsidR="00C02924">
        <w:rPr>
          <w:bCs/>
          <w:szCs w:val="26"/>
        </w:rPr>
        <w:t xml:space="preserve"> </w:t>
      </w:r>
      <w:r w:rsidR="004F4A09">
        <w:rPr>
          <w:bCs/>
          <w:szCs w:val="26"/>
        </w:rPr>
        <w:t>на 2020</w:t>
      </w:r>
      <w:r w:rsidR="00C02924" w:rsidRPr="00C02924">
        <w:rPr>
          <w:bCs/>
          <w:szCs w:val="26"/>
        </w:rPr>
        <w:t xml:space="preserve"> год</w:t>
      </w:r>
      <w:r w:rsidR="00C576A8">
        <w:rPr>
          <w:bCs/>
          <w:szCs w:val="26"/>
        </w:rPr>
        <w:t xml:space="preserve"> </w:t>
      </w:r>
      <w:r w:rsidR="001C29D9">
        <w:rPr>
          <w:bCs/>
          <w:szCs w:val="26"/>
        </w:rPr>
        <w:t xml:space="preserve">для муниципальной услуги «Содержание городских парков, скверов, площадей» </w:t>
      </w:r>
      <w:r w:rsidR="00C576A8">
        <w:rPr>
          <w:bCs/>
          <w:szCs w:val="26"/>
        </w:rPr>
        <w:t>в редакции приложения</w:t>
      </w:r>
      <w:r w:rsidR="00AD2CC5">
        <w:rPr>
          <w:bCs/>
          <w:szCs w:val="26"/>
        </w:rPr>
        <w:t xml:space="preserve"> №</w:t>
      </w:r>
      <w:r w:rsidR="008E55E0">
        <w:rPr>
          <w:bCs/>
          <w:szCs w:val="26"/>
        </w:rPr>
        <w:t xml:space="preserve"> 1</w:t>
      </w:r>
      <w:r w:rsidR="00C576A8">
        <w:rPr>
          <w:bCs/>
          <w:szCs w:val="26"/>
        </w:rPr>
        <w:t xml:space="preserve"> к настоящему постановлению;</w:t>
      </w:r>
    </w:p>
    <w:p w:rsidR="00AD2CC5" w:rsidRDefault="00EB1D32" w:rsidP="004F4A09">
      <w:pPr>
        <w:spacing w:line="360" w:lineRule="auto"/>
        <w:ind w:firstLine="567"/>
        <w:rPr>
          <w:bCs/>
          <w:szCs w:val="26"/>
        </w:rPr>
      </w:pPr>
      <w:r>
        <w:rPr>
          <w:bCs/>
          <w:szCs w:val="26"/>
        </w:rPr>
        <w:t>1.2. З</w:t>
      </w:r>
      <w:r w:rsidR="00463D0C" w:rsidRPr="00463D0C">
        <w:rPr>
          <w:bCs/>
          <w:szCs w:val="26"/>
        </w:rPr>
        <w:t>начени</w:t>
      </w:r>
      <w:r w:rsidR="00D445ED">
        <w:rPr>
          <w:bCs/>
          <w:szCs w:val="26"/>
        </w:rPr>
        <w:t>е</w:t>
      </w:r>
      <w:r w:rsidR="00463D0C" w:rsidRPr="00463D0C">
        <w:rPr>
          <w:bCs/>
          <w:szCs w:val="26"/>
        </w:rPr>
        <w:t xml:space="preserve"> базового норматива затрат на оказание</w:t>
      </w:r>
      <w:r w:rsidR="00463D0C">
        <w:rPr>
          <w:bCs/>
          <w:szCs w:val="26"/>
        </w:rPr>
        <w:t xml:space="preserve"> </w:t>
      </w:r>
      <w:r w:rsidR="00463D0C" w:rsidRPr="00C02924">
        <w:rPr>
          <w:bCs/>
          <w:szCs w:val="26"/>
        </w:rPr>
        <w:t>муниципаль</w:t>
      </w:r>
      <w:r w:rsidR="00463D0C">
        <w:rPr>
          <w:bCs/>
          <w:szCs w:val="26"/>
        </w:rPr>
        <w:t>ных</w:t>
      </w:r>
      <w:r w:rsidR="00463D0C" w:rsidRPr="00C02924">
        <w:rPr>
          <w:bCs/>
          <w:szCs w:val="26"/>
        </w:rPr>
        <w:t xml:space="preserve"> услуг</w:t>
      </w:r>
      <w:r w:rsidR="00AD2CC5">
        <w:rPr>
          <w:bCs/>
          <w:szCs w:val="26"/>
        </w:rPr>
        <w:t xml:space="preserve">, </w:t>
      </w:r>
      <w:r w:rsidR="00AD2CC5" w:rsidRPr="00AD2CC5">
        <w:rPr>
          <w:bCs/>
          <w:szCs w:val="26"/>
        </w:rPr>
        <w:t>оказываемых муниципальным бюджетным учреждением «Специализированная служба Арсеньев</w:t>
      </w:r>
      <w:r w:rsidR="004F4A09">
        <w:rPr>
          <w:bCs/>
          <w:szCs w:val="26"/>
        </w:rPr>
        <w:t>ского городского округа» на 2020</w:t>
      </w:r>
      <w:r w:rsidR="00AD2CC5" w:rsidRPr="00AD2CC5">
        <w:rPr>
          <w:bCs/>
          <w:szCs w:val="26"/>
        </w:rPr>
        <w:t xml:space="preserve"> год</w:t>
      </w:r>
      <w:r w:rsidR="00B44409" w:rsidRPr="00B44409">
        <w:rPr>
          <w:bCs/>
          <w:szCs w:val="26"/>
        </w:rPr>
        <w:t xml:space="preserve"> для муниципальной услуги «Содержание городских парков, скверов, площадей»</w:t>
      </w:r>
      <w:r w:rsidR="00AD2CC5">
        <w:rPr>
          <w:bCs/>
          <w:szCs w:val="26"/>
        </w:rPr>
        <w:t xml:space="preserve"> </w:t>
      </w:r>
      <w:r w:rsidR="00D445ED">
        <w:rPr>
          <w:bCs/>
          <w:szCs w:val="26"/>
        </w:rPr>
        <w:t>в редакции приложения № 2 к настоящему постановлению</w:t>
      </w:r>
      <w:r w:rsidR="004F0BF9">
        <w:rPr>
          <w:bCs/>
          <w:szCs w:val="26"/>
        </w:rPr>
        <w:t>.</w:t>
      </w:r>
    </w:p>
    <w:p w:rsidR="00C02924" w:rsidRDefault="00C02924" w:rsidP="004F4A09">
      <w:pPr>
        <w:spacing w:line="360" w:lineRule="auto"/>
        <w:ind w:firstLine="567"/>
        <w:rPr>
          <w:bCs/>
          <w:szCs w:val="26"/>
        </w:rPr>
      </w:pPr>
      <w:r>
        <w:rPr>
          <w:bCs/>
          <w:szCs w:val="26"/>
        </w:rPr>
        <w:t xml:space="preserve">2. Организационному управлению администрации Арсеньевского городского округа (Абрамова) </w:t>
      </w:r>
      <w:r w:rsidR="00AD2CC5">
        <w:rPr>
          <w:bCs/>
          <w:szCs w:val="26"/>
        </w:rPr>
        <w:t xml:space="preserve">обеспечить </w:t>
      </w:r>
      <w:r>
        <w:rPr>
          <w:bCs/>
          <w:szCs w:val="26"/>
        </w:rPr>
        <w:t>разме</w:t>
      </w:r>
      <w:r w:rsidR="00AD2CC5">
        <w:rPr>
          <w:bCs/>
          <w:szCs w:val="26"/>
        </w:rPr>
        <w:t>щение</w:t>
      </w:r>
      <w:r>
        <w:rPr>
          <w:bCs/>
          <w:szCs w:val="26"/>
        </w:rPr>
        <w:t xml:space="preserve"> на официальном сайте администрации Арсеньевского городского округа</w:t>
      </w:r>
      <w:r w:rsidR="00AD2CC5">
        <w:rPr>
          <w:bCs/>
          <w:szCs w:val="26"/>
        </w:rPr>
        <w:t xml:space="preserve"> настоящего постановления</w:t>
      </w:r>
      <w:r>
        <w:rPr>
          <w:bCs/>
          <w:szCs w:val="26"/>
        </w:rPr>
        <w:t>.</w:t>
      </w:r>
    </w:p>
    <w:p w:rsidR="002D2D71" w:rsidRDefault="002D2D71" w:rsidP="00F83AB2">
      <w:pPr>
        <w:spacing w:line="360" w:lineRule="auto"/>
        <w:ind w:firstLine="0"/>
        <w:outlineLvl w:val="0"/>
        <w:rPr>
          <w:szCs w:val="26"/>
        </w:rPr>
      </w:pPr>
    </w:p>
    <w:p w:rsidR="002D2D71" w:rsidRDefault="002D2D71" w:rsidP="002D2D71">
      <w:pPr>
        <w:ind w:firstLine="0"/>
        <w:outlineLvl w:val="0"/>
        <w:rPr>
          <w:szCs w:val="26"/>
        </w:rPr>
      </w:pPr>
    </w:p>
    <w:p w:rsidR="00C02924" w:rsidRDefault="00ED0CAB" w:rsidP="002D2D71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 xml:space="preserve">Врио </w:t>
      </w:r>
      <w:r w:rsidR="0087708F" w:rsidRPr="002D2D71">
        <w:rPr>
          <w:szCs w:val="26"/>
        </w:rPr>
        <w:t>Глав</w:t>
      </w:r>
      <w:r w:rsidR="00C46A95">
        <w:rPr>
          <w:szCs w:val="26"/>
        </w:rPr>
        <w:t>ы</w:t>
      </w:r>
      <w:r w:rsidR="0043026D" w:rsidRPr="002D2D71">
        <w:rPr>
          <w:szCs w:val="26"/>
        </w:rPr>
        <w:t xml:space="preserve"> </w:t>
      </w:r>
      <w:r w:rsidR="0087708F" w:rsidRPr="002D2D71">
        <w:rPr>
          <w:szCs w:val="26"/>
        </w:rPr>
        <w:t>городского</w:t>
      </w:r>
      <w:r w:rsidR="0043026D" w:rsidRPr="002D2D71">
        <w:rPr>
          <w:szCs w:val="26"/>
        </w:rPr>
        <w:t xml:space="preserve"> </w:t>
      </w:r>
      <w:r w:rsidR="0087708F" w:rsidRPr="002D2D71">
        <w:rPr>
          <w:szCs w:val="26"/>
        </w:rPr>
        <w:t xml:space="preserve">округа                                          </w:t>
      </w:r>
      <w:r>
        <w:rPr>
          <w:szCs w:val="26"/>
        </w:rPr>
        <w:t xml:space="preserve">                   </w:t>
      </w:r>
      <w:r w:rsidR="00567216">
        <w:rPr>
          <w:szCs w:val="26"/>
        </w:rPr>
        <w:t xml:space="preserve">             </w:t>
      </w:r>
      <w:r>
        <w:rPr>
          <w:szCs w:val="26"/>
        </w:rPr>
        <w:t>В.С. Пивень</w:t>
      </w: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C256EF" w:rsidRDefault="00C256EF" w:rsidP="002D2D71">
      <w:pPr>
        <w:spacing w:line="360" w:lineRule="auto"/>
        <w:ind w:firstLine="0"/>
        <w:outlineLvl w:val="0"/>
        <w:rPr>
          <w:szCs w:val="26"/>
        </w:rPr>
      </w:pPr>
    </w:p>
    <w:p w:rsidR="00C256EF" w:rsidRDefault="00C256EF" w:rsidP="002D2D71">
      <w:pPr>
        <w:spacing w:line="360" w:lineRule="auto"/>
        <w:ind w:firstLine="0"/>
        <w:outlineLvl w:val="0"/>
        <w:rPr>
          <w:szCs w:val="26"/>
        </w:rPr>
      </w:pPr>
    </w:p>
    <w:p w:rsidR="006E77BE" w:rsidRDefault="006E77BE" w:rsidP="002D2D71">
      <w:pPr>
        <w:spacing w:line="360" w:lineRule="auto"/>
        <w:ind w:firstLine="0"/>
        <w:outlineLvl w:val="0"/>
        <w:rPr>
          <w:szCs w:val="26"/>
        </w:rPr>
      </w:pPr>
    </w:p>
    <w:p w:rsidR="00B44409" w:rsidRDefault="00B44409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2D2D71">
      <w:pPr>
        <w:spacing w:line="360" w:lineRule="auto"/>
        <w:ind w:firstLine="0"/>
        <w:outlineLvl w:val="0"/>
        <w:rPr>
          <w:szCs w:val="26"/>
        </w:rPr>
      </w:pPr>
    </w:p>
    <w:p w:rsidR="00876192" w:rsidRDefault="00876192" w:rsidP="00B44409">
      <w:pPr>
        <w:spacing w:line="360" w:lineRule="auto"/>
        <w:ind w:firstLine="0"/>
        <w:outlineLvl w:val="0"/>
        <w:rPr>
          <w:szCs w:val="26"/>
        </w:rPr>
      </w:pPr>
    </w:p>
    <w:p w:rsidR="00C21BA7" w:rsidRDefault="00B44409" w:rsidP="00B44409">
      <w:pPr>
        <w:widowControl/>
        <w:tabs>
          <w:tab w:val="left" w:pos="743"/>
          <w:tab w:val="left" w:pos="1134"/>
        </w:tabs>
        <w:suppressAutoHyphens w:val="0"/>
        <w:ind w:firstLine="0"/>
        <w:rPr>
          <w:sz w:val="24"/>
          <w:szCs w:val="24"/>
          <w:lang w:eastAsia="ru-RU"/>
        </w:rPr>
      </w:pPr>
      <w:r>
        <w:rPr>
          <w:szCs w:val="26"/>
          <w:lang w:eastAsia="ru-RU"/>
        </w:rPr>
        <w:t xml:space="preserve">                                                                                                     </w:t>
      </w:r>
      <w:r w:rsidRPr="00B44409">
        <w:rPr>
          <w:sz w:val="24"/>
          <w:szCs w:val="24"/>
          <w:lang w:eastAsia="ru-RU"/>
        </w:rPr>
        <w:t>Приложение № 1</w:t>
      </w:r>
      <w:r w:rsidR="00C21BA7">
        <w:rPr>
          <w:sz w:val="24"/>
          <w:szCs w:val="24"/>
          <w:lang w:eastAsia="ru-RU"/>
        </w:rPr>
        <w:t xml:space="preserve"> </w:t>
      </w:r>
    </w:p>
    <w:p w:rsidR="00C21BA7" w:rsidRPr="00C21BA7" w:rsidRDefault="00C21BA7" w:rsidP="00B44409">
      <w:pPr>
        <w:widowControl/>
        <w:tabs>
          <w:tab w:val="left" w:pos="743"/>
          <w:tab w:val="left" w:pos="1134"/>
        </w:tabs>
        <w:suppressAutoHyphens w:val="0"/>
        <w:ind w:firstLine="0"/>
        <w:rPr>
          <w:sz w:val="24"/>
          <w:szCs w:val="24"/>
          <w:lang w:eastAsia="ru-RU"/>
        </w:rPr>
      </w:pPr>
    </w:p>
    <w:p w:rsidR="00B44409" w:rsidRPr="00B44409" w:rsidRDefault="00B44409" w:rsidP="00B44409">
      <w:pPr>
        <w:widowControl/>
        <w:tabs>
          <w:tab w:val="left" w:pos="743"/>
          <w:tab w:val="left" w:pos="1134"/>
        </w:tabs>
        <w:suppressAutoHyphens w:val="0"/>
        <w:ind w:firstLine="0"/>
        <w:jc w:val="center"/>
        <w:rPr>
          <w:sz w:val="24"/>
          <w:szCs w:val="24"/>
          <w:lang w:eastAsia="ru-RU"/>
        </w:rPr>
      </w:pPr>
      <w:r w:rsidRPr="00C21BA7">
        <w:rPr>
          <w:sz w:val="24"/>
          <w:szCs w:val="24"/>
          <w:lang w:eastAsia="ru-RU"/>
        </w:rPr>
        <w:t xml:space="preserve">                                                                              </w:t>
      </w:r>
      <w:r w:rsidRPr="00B44409">
        <w:rPr>
          <w:sz w:val="24"/>
          <w:szCs w:val="24"/>
          <w:lang w:eastAsia="ru-RU"/>
        </w:rPr>
        <w:t>к постановлению администрации</w:t>
      </w:r>
    </w:p>
    <w:p w:rsidR="00B44409" w:rsidRPr="00B44409" w:rsidRDefault="00C21BA7" w:rsidP="00C21BA7">
      <w:pPr>
        <w:widowControl/>
        <w:suppressAutoHyphens w:val="0"/>
        <w:autoSpaceDE/>
        <w:ind w:left="5387" w:hanging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B44409" w:rsidRPr="00B44409">
        <w:rPr>
          <w:sz w:val="24"/>
          <w:szCs w:val="24"/>
          <w:lang w:eastAsia="ru-RU"/>
        </w:rPr>
        <w:t>Арсеньевского городского округа</w:t>
      </w:r>
    </w:p>
    <w:p w:rsidR="00B44409" w:rsidRPr="00B44409" w:rsidRDefault="00B44409" w:rsidP="00B44409">
      <w:pPr>
        <w:widowControl/>
        <w:suppressAutoHyphens w:val="0"/>
        <w:autoSpaceDE/>
        <w:ind w:left="5387" w:firstLine="0"/>
        <w:rPr>
          <w:sz w:val="24"/>
          <w:szCs w:val="24"/>
          <w:lang w:eastAsia="ru-RU"/>
        </w:rPr>
      </w:pPr>
      <w:r w:rsidRPr="00C21BA7">
        <w:rPr>
          <w:sz w:val="24"/>
          <w:szCs w:val="24"/>
          <w:lang w:eastAsia="ru-RU"/>
        </w:rPr>
        <w:t xml:space="preserve"> </w:t>
      </w:r>
      <w:r w:rsidR="00C21BA7" w:rsidRPr="00C21BA7">
        <w:rPr>
          <w:sz w:val="24"/>
          <w:szCs w:val="24"/>
          <w:lang w:eastAsia="ru-RU"/>
        </w:rPr>
        <w:t xml:space="preserve">от </w:t>
      </w:r>
      <w:r w:rsidR="00AD309C">
        <w:rPr>
          <w:sz w:val="24"/>
          <w:szCs w:val="24"/>
          <w:u w:val="single"/>
          <w:lang w:eastAsia="ru-RU"/>
        </w:rPr>
        <w:t>13 мая 2020 г.</w:t>
      </w:r>
      <w:r w:rsidR="00C21BA7" w:rsidRPr="00C21BA7">
        <w:rPr>
          <w:sz w:val="24"/>
          <w:szCs w:val="24"/>
          <w:lang w:eastAsia="ru-RU"/>
        </w:rPr>
        <w:t xml:space="preserve">      </w:t>
      </w:r>
      <w:r w:rsidRPr="00B44409">
        <w:rPr>
          <w:sz w:val="24"/>
          <w:szCs w:val="24"/>
          <w:lang w:eastAsia="ru-RU"/>
        </w:rPr>
        <w:t xml:space="preserve"> № </w:t>
      </w:r>
      <w:r w:rsidR="00AD309C">
        <w:rPr>
          <w:sz w:val="24"/>
          <w:szCs w:val="24"/>
          <w:u w:val="single"/>
          <w:lang w:eastAsia="ru-RU"/>
        </w:rPr>
        <w:t>267-па</w:t>
      </w:r>
    </w:p>
    <w:p w:rsidR="00B44409" w:rsidRPr="00B44409" w:rsidRDefault="00B44409" w:rsidP="00B44409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</w:p>
    <w:p w:rsidR="00B44409" w:rsidRPr="00B44409" w:rsidRDefault="00B44409" w:rsidP="00B44409">
      <w:pPr>
        <w:widowControl/>
        <w:suppressAutoHyphens w:val="0"/>
        <w:autoSpaceDE/>
        <w:ind w:firstLine="0"/>
        <w:jc w:val="center"/>
        <w:rPr>
          <w:szCs w:val="26"/>
          <w:lang w:eastAsia="ru-RU"/>
        </w:rPr>
      </w:pPr>
      <w:r w:rsidRPr="00B44409">
        <w:rPr>
          <w:szCs w:val="26"/>
          <w:lang w:eastAsia="ru-RU"/>
        </w:rPr>
        <w:t>Значения натуральных норм, необходимых для определения базового</w:t>
      </w:r>
    </w:p>
    <w:p w:rsidR="00B44409" w:rsidRPr="00B44409" w:rsidRDefault="00B44409" w:rsidP="00B44409">
      <w:pPr>
        <w:widowControl/>
        <w:suppressAutoHyphens w:val="0"/>
        <w:autoSpaceDE/>
        <w:ind w:firstLine="0"/>
        <w:jc w:val="center"/>
        <w:rPr>
          <w:sz w:val="24"/>
          <w:szCs w:val="24"/>
          <w:lang w:eastAsia="ru-RU"/>
        </w:rPr>
      </w:pPr>
      <w:r w:rsidRPr="00B44409">
        <w:rPr>
          <w:szCs w:val="26"/>
          <w:lang w:eastAsia="ru-RU"/>
        </w:rPr>
        <w:t>норматива затрат на оказание муниципальных услуг</w:t>
      </w:r>
      <w:r>
        <w:rPr>
          <w:szCs w:val="26"/>
          <w:lang w:eastAsia="ru-RU"/>
        </w:rPr>
        <w:t xml:space="preserve">, </w:t>
      </w:r>
      <w:r w:rsidRPr="00B44409">
        <w:rPr>
          <w:szCs w:val="26"/>
          <w:lang w:eastAsia="ru-RU"/>
        </w:rPr>
        <w:t>оказывае</w:t>
      </w:r>
      <w:r>
        <w:rPr>
          <w:szCs w:val="26"/>
          <w:lang w:eastAsia="ru-RU"/>
        </w:rPr>
        <w:t>мых</w:t>
      </w:r>
      <w:r w:rsidRPr="00B44409">
        <w:rPr>
          <w:szCs w:val="26"/>
          <w:lang w:eastAsia="ru-RU"/>
        </w:rPr>
        <w:t xml:space="preserve"> муниципальным бюджетным учреждением «Специализированная служба Арсеньевского городского округа» на 2020 год </w:t>
      </w:r>
    </w:p>
    <w:p w:rsidR="00B44409" w:rsidRPr="00B44409" w:rsidRDefault="00B44409" w:rsidP="00B44409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00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70"/>
        <w:gridCol w:w="4083"/>
        <w:gridCol w:w="1507"/>
        <w:gridCol w:w="1690"/>
      </w:tblGrid>
      <w:tr w:rsidR="00B44409" w:rsidRPr="00B44409" w:rsidTr="006F0CBC">
        <w:trPr>
          <w:trHeight w:val="1073"/>
        </w:trPr>
        <w:tc>
          <w:tcPr>
            <w:tcW w:w="156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17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083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Наименование натуральной нормы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Значение натуральной нормы</w:t>
            </w:r>
          </w:p>
        </w:tc>
      </w:tr>
      <w:tr w:rsidR="00B44409" w:rsidRPr="00B44409" w:rsidTr="006F0CBC">
        <w:tc>
          <w:tcPr>
            <w:tcW w:w="1560" w:type="dxa"/>
            <w:vMerge w:val="restart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Содержание городских парков, скверов, площадей</w:t>
            </w:r>
          </w:p>
        </w:tc>
        <w:tc>
          <w:tcPr>
            <w:tcW w:w="1170" w:type="dxa"/>
            <w:vMerge w:val="restart"/>
          </w:tcPr>
          <w:p w:rsidR="00B44409" w:rsidRPr="00B44409" w:rsidRDefault="00B44409" w:rsidP="00B44409">
            <w:pPr>
              <w:suppressAutoHyphens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B44409">
              <w:rPr>
                <w:sz w:val="20"/>
                <w:lang w:eastAsia="ru-RU"/>
              </w:rPr>
              <w:t>813010.Р.29.1.АЮ650003000</w:t>
            </w: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44409">
              <w:rPr>
                <w:b/>
                <w:bCs/>
                <w:sz w:val="24"/>
                <w:szCs w:val="24"/>
                <w:lang w:eastAsia="ru-RU"/>
              </w:rPr>
              <w:t>1. Натуральные нормы, непосредственно связанные с оказанием услуги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1.1. Оплата труда работников, непосредственно связанных с оказанием услуги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5614,413945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44409">
              <w:rPr>
                <w:b/>
                <w:bCs/>
                <w:sz w:val="24"/>
                <w:szCs w:val="24"/>
                <w:lang w:eastAsia="ru-RU"/>
              </w:rPr>
              <w:t>2.  Натуральные нормы на общехозяйственные нужды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2.1. Коммунальные услуги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44409">
              <w:rPr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0,000398838</w:t>
            </w:r>
          </w:p>
        </w:tc>
      </w:tr>
      <w:tr w:rsidR="00B44409" w:rsidRPr="00B44409" w:rsidTr="006F0CBC">
        <w:trPr>
          <w:trHeight w:val="216"/>
        </w:trPr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0,000000500</w:t>
            </w:r>
          </w:p>
        </w:tc>
      </w:tr>
      <w:tr w:rsidR="00B44409" w:rsidRPr="00B44409" w:rsidTr="006F0CBC">
        <w:trPr>
          <w:trHeight w:val="317"/>
        </w:trPr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0,000000500</w:t>
            </w:r>
          </w:p>
        </w:tc>
      </w:tr>
      <w:tr w:rsidR="00B44409" w:rsidRPr="00B44409" w:rsidTr="006F0CBC">
        <w:trPr>
          <w:trHeight w:val="225"/>
        </w:trPr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Сброс загрязняющих в-в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0,000000500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0,000000623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2.2. Затраты на содержание имущества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Текущий ремонт офисной оргтехники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Технический осмотр транспорта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0,000000208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0,000000052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 xml:space="preserve">Техническое обслуживание охранного </w:t>
            </w:r>
            <w:proofErr w:type="spellStart"/>
            <w:r w:rsidRPr="00B44409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B4440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мес.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Экспертиза ТС и ОС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кол-во ед.</w:t>
            </w:r>
          </w:p>
        </w:tc>
        <w:tc>
          <w:tcPr>
            <w:tcW w:w="1690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0,000000021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2.3. Затраты на услуги связи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Телефон локальный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0,000000021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0,000000229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2.4. Затраты на приобретение материальных запасов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Леска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м.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0,008544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ГСМ (бензин, дизельное топливо)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0,013211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 xml:space="preserve">ГСМ (масло 2-х </w:t>
            </w:r>
            <w:proofErr w:type="spellStart"/>
            <w:r w:rsidRPr="00B44409">
              <w:rPr>
                <w:sz w:val="24"/>
                <w:szCs w:val="24"/>
                <w:lang w:eastAsia="ru-RU"/>
              </w:rPr>
              <w:t>тактное</w:t>
            </w:r>
            <w:proofErr w:type="spellEnd"/>
            <w:r w:rsidRPr="00B44409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л.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0,000137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0,006836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Талоны на утилизацию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м</w:t>
            </w:r>
            <w:r w:rsidRPr="00B44409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0,000419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Насос погружной</w:t>
            </w:r>
          </w:p>
        </w:tc>
        <w:tc>
          <w:tcPr>
            <w:tcW w:w="1507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0,000017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АХП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44409">
              <w:rPr>
                <w:color w:val="000000"/>
                <w:sz w:val="24"/>
                <w:szCs w:val="24"/>
                <w:lang w:eastAsia="ru-RU"/>
              </w:rPr>
              <w:t>0,000000168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0" w:type="dxa"/>
            <w:gridSpan w:val="3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2.6. Прочие затраты на общехозяйственные нужды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 xml:space="preserve">мес. 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 xml:space="preserve">кол-во </w:t>
            </w:r>
          </w:p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44409">
              <w:rPr>
                <w:sz w:val="24"/>
                <w:szCs w:val="24"/>
                <w:lang w:eastAsia="ru-RU"/>
              </w:rPr>
              <w:t>сотруд</w:t>
            </w:r>
            <w:proofErr w:type="spellEnd"/>
            <w:r w:rsidRPr="00B4440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0,000000052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0,000000062</w:t>
            </w:r>
          </w:p>
        </w:tc>
      </w:tr>
      <w:tr w:rsidR="00B44409" w:rsidRPr="00B44409" w:rsidTr="006F0CBC">
        <w:trPr>
          <w:trHeight w:val="562"/>
        </w:trPr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Предрейсовый медосмотр, медкомиссия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0,000001624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ОСАГО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0,000000250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0,000000052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Ремонт и обслуживание транспорта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Услуги ЖД площадки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0,000000010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Канцелярские и хозяйственные товары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0,000015822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СИЗ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44409">
              <w:rPr>
                <w:sz w:val="22"/>
                <w:szCs w:val="22"/>
                <w:lang w:eastAsia="ru-RU"/>
              </w:rPr>
              <w:t>компл</w:t>
            </w:r>
            <w:proofErr w:type="spellEnd"/>
            <w:r w:rsidRPr="00B44409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0,000000687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Инструмент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Запчасти и материалы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Диски, круги, электроды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44409">
              <w:rPr>
                <w:sz w:val="22"/>
                <w:szCs w:val="22"/>
                <w:lang w:eastAsia="ru-RU"/>
              </w:rPr>
              <w:t>кол-во мес.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0,000000125</w:t>
            </w:r>
          </w:p>
        </w:tc>
      </w:tr>
      <w:tr w:rsidR="00B44409" w:rsidRPr="00B44409" w:rsidTr="006F0CBC">
        <w:tc>
          <w:tcPr>
            <w:tcW w:w="156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1507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690" w:type="dxa"/>
            <w:vAlign w:val="center"/>
          </w:tcPr>
          <w:p w:rsidR="00B44409" w:rsidRPr="00B44409" w:rsidRDefault="00B44409" w:rsidP="00B44409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4409">
              <w:rPr>
                <w:sz w:val="24"/>
                <w:szCs w:val="24"/>
                <w:lang w:eastAsia="ru-RU"/>
              </w:rPr>
              <w:t>0,000000042</w:t>
            </w:r>
          </w:p>
        </w:tc>
      </w:tr>
    </w:tbl>
    <w:p w:rsidR="00B44409" w:rsidRPr="00B44409" w:rsidRDefault="00B44409" w:rsidP="00B44409">
      <w:pPr>
        <w:tabs>
          <w:tab w:val="left" w:pos="2565"/>
        </w:tabs>
        <w:suppressAutoHyphens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</w:pPr>
    </w:p>
    <w:p w:rsidR="00305355" w:rsidRDefault="00305355" w:rsidP="00305355">
      <w:pPr>
        <w:tabs>
          <w:tab w:val="left" w:pos="2565"/>
        </w:tabs>
        <w:ind w:firstLine="0"/>
        <w:rPr>
          <w:sz w:val="24"/>
          <w:szCs w:val="24"/>
        </w:rPr>
        <w:sectPr w:rsidR="00305355" w:rsidSect="00305355">
          <w:type w:val="continuous"/>
          <w:pgSz w:w="11906" w:h="16838"/>
          <w:pgMar w:top="851" w:right="1134" w:bottom="993" w:left="1170" w:header="709" w:footer="709" w:gutter="0"/>
          <w:cols w:space="708"/>
          <w:docGrid w:linePitch="381"/>
        </w:sectPr>
      </w:pPr>
    </w:p>
    <w:p w:rsidR="00305355" w:rsidRPr="00DF1229" w:rsidRDefault="00305355" w:rsidP="00305355">
      <w:pPr>
        <w:pStyle w:val="ConsPlusNormal"/>
        <w:spacing w:line="360" w:lineRule="auto"/>
        <w:ind w:left="9204" w:firstLine="708"/>
        <w:jc w:val="center"/>
      </w:pPr>
      <w:r w:rsidRPr="00DF1229">
        <w:lastRenderedPageBreak/>
        <w:t>Приложение № 2</w:t>
      </w:r>
    </w:p>
    <w:p w:rsidR="00305355" w:rsidRPr="001668E1" w:rsidRDefault="00305355" w:rsidP="00305355">
      <w:pPr>
        <w:pStyle w:val="ConsPlusNormal"/>
        <w:ind w:left="10620"/>
        <w:jc w:val="both"/>
      </w:pPr>
      <w:r>
        <w:t>к постановлению</w:t>
      </w:r>
      <w:r w:rsidRPr="001668E1">
        <w:t xml:space="preserve"> администрации</w:t>
      </w:r>
    </w:p>
    <w:p w:rsidR="00305355" w:rsidRPr="001668E1" w:rsidRDefault="00305355" w:rsidP="00305355">
      <w:pPr>
        <w:pStyle w:val="ConsPlusNormal"/>
        <w:ind w:left="9912"/>
        <w:jc w:val="both"/>
      </w:pPr>
      <w:r w:rsidRPr="001668E1">
        <w:t xml:space="preserve">          </w:t>
      </w:r>
      <w:r>
        <w:t xml:space="preserve">  </w:t>
      </w:r>
      <w:r w:rsidRPr="001668E1">
        <w:t>Арсеньевского городского округа</w:t>
      </w:r>
    </w:p>
    <w:p w:rsidR="00876D5C" w:rsidRPr="00B44409" w:rsidRDefault="00305355" w:rsidP="00876D5C">
      <w:pPr>
        <w:widowControl/>
        <w:suppressAutoHyphens w:val="0"/>
        <w:autoSpaceDE/>
        <w:ind w:left="9923" w:firstLine="0"/>
        <w:rPr>
          <w:sz w:val="24"/>
          <w:szCs w:val="24"/>
          <w:lang w:eastAsia="ru-RU"/>
        </w:rPr>
      </w:pPr>
      <w:r w:rsidRPr="001668E1">
        <w:t xml:space="preserve">          </w:t>
      </w:r>
      <w:r>
        <w:t xml:space="preserve">  </w:t>
      </w:r>
      <w:r w:rsidR="00876D5C" w:rsidRPr="00C21BA7">
        <w:rPr>
          <w:sz w:val="24"/>
          <w:szCs w:val="24"/>
          <w:lang w:eastAsia="ru-RU"/>
        </w:rPr>
        <w:t xml:space="preserve">от </w:t>
      </w:r>
      <w:r w:rsidR="00876D5C">
        <w:rPr>
          <w:sz w:val="24"/>
          <w:szCs w:val="24"/>
          <w:u w:val="single"/>
          <w:lang w:eastAsia="ru-RU"/>
        </w:rPr>
        <w:t>13 мая 2020 г.</w:t>
      </w:r>
      <w:r w:rsidR="00876D5C" w:rsidRPr="00C21BA7">
        <w:rPr>
          <w:sz w:val="24"/>
          <w:szCs w:val="24"/>
          <w:lang w:eastAsia="ru-RU"/>
        </w:rPr>
        <w:t xml:space="preserve">      </w:t>
      </w:r>
      <w:r w:rsidR="00876D5C" w:rsidRPr="00B44409">
        <w:rPr>
          <w:sz w:val="24"/>
          <w:szCs w:val="24"/>
          <w:lang w:eastAsia="ru-RU"/>
        </w:rPr>
        <w:t xml:space="preserve"> № </w:t>
      </w:r>
      <w:r w:rsidR="00876D5C">
        <w:rPr>
          <w:sz w:val="24"/>
          <w:szCs w:val="24"/>
          <w:u w:val="single"/>
          <w:lang w:eastAsia="ru-RU"/>
        </w:rPr>
        <w:t>267-па</w:t>
      </w:r>
    </w:p>
    <w:p w:rsidR="00305355" w:rsidRPr="001668E1" w:rsidRDefault="00305355" w:rsidP="00305355">
      <w:pPr>
        <w:pStyle w:val="ConsPlusNormal"/>
        <w:ind w:left="9912"/>
        <w:jc w:val="both"/>
        <w:rPr>
          <w:sz w:val="26"/>
          <w:szCs w:val="26"/>
        </w:rPr>
      </w:pPr>
    </w:p>
    <w:p w:rsidR="00305355" w:rsidRDefault="00305355" w:rsidP="00305355">
      <w:pPr>
        <w:pStyle w:val="ConsPlusNormal"/>
        <w:jc w:val="both"/>
      </w:pPr>
    </w:p>
    <w:p w:rsidR="00305355" w:rsidRPr="001668E1" w:rsidRDefault="00305355" w:rsidP="00305355">
      <w:pPr>
        <w:pStyle w:val="ConsPlusNormal"/>
        <w:jc w:val="center"/>
      </w:pPr>
      <w:r w:rsidRPr="001668E1">
        <w:t xml:space="preserve">Значение базового норматива затрат </w:t>
      </w:r>
      <w:r>
        <w:t>на оказание муниципальных услуг, оказываемых</w:t>
      </w:r>
      <w:r w:rsidRPr="001668E1">
        <w:t xml:space="preserve"> </w:t>
      </w:r>
      <w:r w:rsidRPr="00467F3D">
        <w:t xml:space="preserve">муниципальным </w:t>
      </w:r>
      <w:r>
        <w:t>бюджетным</w:t>
      </w:r>
      <w:r w:rsidRPr="00467F3D">
        <w:t xml:space="preserve"> учреждением </w:t>
      </w:r>
      <w:r>
        <w:t xml:space="preserve">«Специализированная служба Арсеньевского городского округа» </w:t>
      </w:r>
      <w:r w:rsidRPr="001668E1">
        <w:t>на 20</w:t>
      </w:r>
      <w:r>
        <w:t>20</w:t>
      </w:r>
      <w:r w:rsidRPr="001668E1">
        <w:t xml:space="preserve"> год </w:t>
      </w:r>
    </w:p>
    <w:p w:rsidR="00305355" w:rsidRPr="001668E1" w:rsidRDefault="00305355" w:rsidP="00305355">
      <w:pPr>
        <w:pStyle w:val="ConsPlusNormal"/>
      </w:pPr>
    </w:p>
    <w:tbl>
      <w:tblPr>
        <w:tblW w:w="14278" w:type="dxa"/>
        <w:tblInd w:w="-219" w:type="dxa"/>
        <w:tblLayout w:type="fixed"/>
        <w:tblLook w:val="00A0" w:firstRow="1" w:lastRow="0" w:firstColumn="1" w:lastColumn="0" w:noHBand="0" w:noVBand="0"/>
      </w:tblPr>
      <w:tblGrid>
        <w:gridCol w:w="3878"/>
        <w:gridCol w:w="1116"/>
        <w:gridCol w:w="40"/>
        <w:gridCol w:w="986"/>
        <w:gridCol w:w="1238"/>
        <w:gridCol w:w="892"/>
        <w:gridCol w:w="892"/>
        <w:gridCol w:w="892"/>
        <w:gridCol w:w="892"/>
        <w:gridCol w:w="892"/>
        <w:gridCol w:w="892"/>
        <w:gridCol w:w="1668"/>
      </w:tblGrid>
      <w:tr w:rsidR="00C21BA7" w:rsidRPr="006B6C86" w:rsidTr="00C21BA7">
        <w:trPr>
          <w:trHeight w:val="1385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C21BA7" w:rsidRPr="006B6C86" w:rsidTr="00C21BA7">
        <w:trPr>
          <w:trHeight w:val="533"/>
        </w:trPr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21BA7" w:rsidRPr="006B6C86" w:rsidTr="00C21BA7">
        <w:trPr>
          <w:trHeight w:val="31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C21BA7" w:rsidRPr="006B6C86" w:rsidTr="00C21BA7">
        <w:trPr>
          <w:trHeight w:val="317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BA7" w:rsidRPr="001668E1" w:rsidRDefault="00C21BA7" w:rsidP="006F0CBC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C21BA7" w:rsidRPr="006B6C86" w:rsidTr="00C21BA7">
        <w:trPr>
          <w:trHeight w:val="492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BA7" w:rsidRPr="00467F3D" w:rsidRDefault="00C21BA7" w:rsidP="006F0CBC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C447AB">
              <w:rPr>
                <w:sz w:val="24"/>
                <w:szCs w:val="24"/>
              </w:rPr>
              <w:t>Содержание городских парков, скверов, площадей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</w:t>
            </w:r>
            <w:r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606B3">
              <w:rPr>
                <w:b/>
                <w:bCs/>
                <w:sz w:val="24"/>
                <w:szCs w:val="24"/>
              </w:rPr>
              <w:t>0,002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06B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302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BA7" w:rsidRPr="004606B3" w:rsidRDefault="00C21BA7" w:rsidP="006F0CBC">
            <w:pPr>
              <w:widowControl/>
              <w:autoSpaceDE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13,65</w:t>
            </w:r>
          </w:p>
        </w:tc>
      </w:tr>
      <w:tr w:rsidR="00C21BA7" w:rsidRPr="006B6C86" w:rsidTr="00C21BA7">
        <w:trPr>
          <w:trHeight w:val="317"/>
        </w:trPr>
        <w:tc>
          <w:tcPr>
            <w:tcW w:w="117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21BA7" w:rsidRPr="006B6C86" w:rsidTr="00C21BA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21BA7" w:rsidRPr="006B6C86" w:rsidTr="00C21BA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21BA7" w:rsidRPr="006B6C86" w:rsidTr="00C21BA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21BA7" w:rsidRPr="006B6C86" w:rsidTr="00C21BA7">
        <w:trPr>
          <w:trHeight w:val="317"/>
        </w:trPr>
        <w:tc>
          <w:tcPr>
            <w:tcW w:w="14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C21BA7" w:rsidRPr="006B6C86" w:rsidTr="00C21BA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21BA7" w:rsidRPr="006B6C86" w:rsidTr="00C21BA7">
        <w:trPr>
          <w:trHeight w:val="317"/>
        </w:trPr>
        <w:tc>
          <w:tcPr>
            <w:tcW w:w="12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21BA7" w:rsidRPr="006B6C86" w:rsidTr="00C21BA7">
        <w:trPr>
          <w:trHeight w:val="317"/>
        </w:trPr>
        <w:tc>
          <w:tcPr>
            <w:tcW w:w="14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C21BA7" w:rsidRPr="00562D7A" w:rsidTr="00C21BA7">
        <w:trPr>
          <w:trHeight w:val="317"/>
        </w:trPr>
        <w:tc>
          <w:tcPr>
            <w:tcW w:w="142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BA7" w:rsidRPr="00CA57B0" w:rsidRDefault="00C21BA7" w:rsidP="006F0CBC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</w:p>
    <w:p w:rsidR="00305355" w:rsidRDefault="00305355" w:rsidP="00305355">
      <w:pPr>
        <w:pStyle w:val="ConsPlusNonformat"/>
        <w:ind w:left="720"/>
        <w:jc w:val="both"/>
        <w:rPr>
          <w:rFonts w:cs="Times New Roman"/>
        </w:rPr>
      </w:pPr>
      <w:bookmarkStart w:id="0" w:name="_GoBack"/>
      <w:bookmarkEnd w:id="0"/>
    </w:p>
    <w:sectPr w:rsidR="00305355" w:rsidSect="00732621">
      <w:type w:val="continuous"/>
      <w:pgSz w:w="16838" w:h="11906" w:orient="landscape"/>
      <w:pgMar w:top="851" w:right="678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DD" w:rsidRDefault="00B351DD">
      <w:r>
        <w:separator/>
      </w:r>
    </w:p>
  </w:endnote>
  <w:endnote w:type="continuationSeparator" w:id="0">
    <w:p w:rsidR="00B351DD" w:rsidRDefault="00B3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SimSun"/>
    <w:charset w:val="86"/>
    <w:family w:val="auto"/>
    <w:pitch w:val="variable"/>
    <w:sig w:usb0="00000001" w:usb1="080E0000" w:usb2="00000010" w:usb3="00000000" w:csb0="00040000" w:csb1="00000000"/>
  </w:font>
  <w:font w:name="FreeSans">
    <w:altName w:val="MS Gothic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F" w:rsidRPr="001D4924" w:rsidRDefault="00373A3F" w:rsidP="001D4924">
    <w:pPr>
      <w:pStyle w:val="a8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A3F" w:rsidRPr="002D2D71" w:rsidRDefault="00373A3F" w:rsidP="002D2D71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DD" w:rsidRDefault="00B351DD">
      <w:r>
        <w:separator/>
      </w:r>
    </w:p>
  </w:footnote>
  <w:footnote w:type="continuationSeparator" w:id="0">
    <w:p w:rsidR="00B351DD" w:rsidRDefault="00B3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73649"/>
    <w:rsid w:val="00075807"/>
    <w:rsid w:val="000D7FBF"/>
    <w:rsid w:val="001042E1"/>
    <w:rsid w:val="001102A3"/>
    <w:rsid w:val="001104E0"/>
    <w:rsid w:val="00130BC3"/>
    <w:rsid w:val="00144624"/>
    <w:rsid w:val="001A22A6"/>
    <w:rsid w:val="001A62D4"/>
    <w:rsid w:val="001C29D9"/>
    <w:rsid w:val="001D4924"/>
    <w:rsid w:val="00203A5C"/>
    <w:rsid w:val="00205CDC"/>
    <w:rsid w:val="00207DAB"/>
    <w:rsid w:val="00210286"/>
    <w:rsid w:val="00231E13"/>
    <w:rsid w:val="00243C5B"/>
    <w:rsid w:val="00262BAA"/>
    <w:rsid w:val="00276072"/>
    <w:rsid w:val="00292885"/>
    <w:rsid w:val="002D2D71"/>
    <w:rsid w:val="002E2755"/>
    <w:rsid w:val="002F5306"/>
    <w:rsid w:val="00305355"/>
    <w:rsid w:val="00324D4B"/>
    <w:rsid w:val="00326DD6"/>
    <w:rsid w:val="00373A3F"/>
    <w:rsid w:val="003B3CA6"/>
    <w:rsid w:val="003C5D68"/>
    <w:rsid w:val="003E17EA"/>
    <w:rsid w:val="003E38CC"/>
    <w:rsid w:val="003E459E"/>
    <w:rsid w:val="0043026D"/>
    <w:rsid w:val="00447A11"/>
    <w:rsid w:val="00463D0C"/>
    <w:rsid w:val="004F0BF9"/>
    <w:rsid w:val="004F4A09"/>
    <w:rsid w:val="00526ABA"/>
    <w:rsid w:val="00535FB8"/>
    <w:rsid w:val="0056305F"/>
    <w:rsid w:val="00567216"/>
    <w:rsid w:val="00571174"/>
    <w:rsid w:val="00573FCF"/>
    <w:rsid w:val="005966C1"/>
    <w:rsid w:val="005A252D"/>
    <w:rsid w:val="005B1A09"/>
    <w:rsid w:val="005D5407"/>
    <w:rsid w:val="005F370C"/>
    <w:rsid w:val="005F7552"/>
    <w:rsid w:val="006056E7"/>
    <w:rsid w:val="006274D5"/>
    <w:rsid w:val="00631D0C"/>
    <w:rsid w:val="00632444"/>
    <w:rsid w:val="00637C18"/>
    <w:rsid w:val="00665D0B"/>
    <w:rsid w:val="00670D95"/>
    <w:rsid w:val="006749BD"/>
    <w:rsid w:val="006A5A32"/>
    <w:rsid w:val="006B0280"/>
    <w:rsid w:val="006C152F"/>
    <w:rsid w:val="006D0CB0"/>
    <w:rsid w:val="006E77BE"/>
    <w:rsid w:val="00713F30"/>
    <w:rsid w:val="00732621"/>
    <w:rsid w:val="0076742F"/>
    <w:rsid w:val="00770A00"/>
    <w:rsid w:val="007C5BFB"/>
    <w:rsid w:val="007D2492"/>
    <w:rsid w:val="007E1E26"/>
    <w:rsid w:val="007E33E0"/>
    <w:rsid w:val="008375F6"/>
    <w:rsid w:val="00875CCC"/>
    <w:rsid w:val="00876192"/>
    <w:rsid w:val="00876D5C"/>
    <w:rsid w:val="0087708F"/>
    <w:rsid w:val="00887D5E"/>
    <w:rsid w:val="008912FC"/>
    <w:rsid w:val="008C2B3A"/>
    <w:rsid w:val="008E55E0"/>
    <w:rsid w:val="00912A6D"/>
    <w:rsid w:val="00927585"/>
    <w:rsid w:val="00932D38"/>
    <w:rsid w:val="00946087"/>
    <w:rsid w:val="00966196"/>
    <w:rsid w:val="0097051C"/>
    <w:rsid w:val="009B6929"/>
    <w:rsid w:val="009D3215"/>
    <w:rsid w:val="009F5BB0"/>
    <w:rsid w:val="00A10E94"/>
    <w:rsid w:val="00A52C1C"/>
    <w:rsid w:val="00A61771"/>
    <w:rsid w:val="00A87163"/>
    <w:rsid w:val="00AB5920"/>
    <w:rsid w:val="00AD2CC5"/>
    <w:rsid w:val="00AD309C"/>
    <w:rsid w:val="00AD67AD"/>
    <w:rsid w:val="00AE44C5"/>
    <w:rsid w:val="00B351DD"/>
    <w:rsid w:val="00B44409"/>
    <w:rsid w:val="00B46DEE"/>
    <w:rsid w:val="00B53CC8"/>
    <w:rsid w:val="00B832F4"/>
    <w:rsid w:val="00B90093"/>
    <w:rsid w:val="00BC24E6"/>
    <w:rsid w:val="00BE1B91"/>
    <w:rsid w:val="00BE7C39"/>
    <w:rsid w:val="00BF2CC5"/>
    <w:rsid w:val="00BF4A2A"/>
    <w:rsid w:val="00C02698"/>
    <w:rsid w:val="00C02924"/>
    <w:rsid w:val="00C21BA7"/>
    <w:rsid w:val="00C256EF"/>
    <w:rsid w:val="00C443A4"/>
    <w:rsid w:val="00C46A95"/>
    <w:rsid w:val="00C576A8"/>
    <w:rsid w:val="00C95D7A"/>
    <w:rsid w:val="00CB6D46"/>
    <w:rsid w:val="00CD315E"/>
    <w:rsid w:val="00CE5276"/>
    <w:rsid w:val="00CF7DAA"/>
    <w:rsid w:val="00D0229E"/>
    <w:rsid w:val="00D1509A"/>
    <w:rsid w:val="00D26B96"/>
    <w:rsid w:val="00D34474"/>
    <w:rsid w:val="00D445ED"/>
    <w:rsid w:val="00D61A01"/>
    <w:rsid w:val="00D7392F"/>
    <w:rsid w:val="00D85E11"/>
    <w:rsid w:val="00DE76D5"/>
    <w:rsid w:val="00DF0064"/>
    <w:rsid w:val="00E14920"/>
    <w:rsid w:val="00E22C29"/>
    <w:rsid w:val="00E276F2"/>
    <w:rsid w:val="00E3424B"/>
    <w:rsid w:val="00E7545B"/>
    <w:rsid w:val="00EB1D32"/>
    <w:rsid w:val="00EB5CB2"/>
    <w:rsid w:val="00ED0CAB"/>
    <w:rsid w:val="00ED2260"/>
    <w:rsid w:val="00ED7289"/>
    <w:rsid w:val="00EE0A97"/>
    <w:rsid w:val="00EF2FCF"/>
    <w:rsid w:val="00F34DAF"/>
    <w:rsid w:val="00F525D0"/>
    <w:rsid w:val="00F83AB2"/>
    <w:rsid w:val="00F9117A"/>
    <w:rsid w:val="00FA7651"/>
    <w:rsid w:val="00FB625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E97CBB"/>
  <w15:docId w15:val="{D1B3D9D2-EAB5-4E1D-8F17-2D17EAEF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link w:val="a7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924"/>
    <w:rPr>
      <w:sz w:val="26"/>
      <w:lang w:eastAsia="zh-CN"/>
    </w:rPr>
  </w:style>
  <w:style w:type="paragraph" w:styleId="a8">
    <w:name w:val="footer"/>
    <w:basedOn w:val="a"/>
    <w:link w:val="a9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924"/>
    <w:rPr>
      <w:sz w:val="26"/>
      <w:lang w:eastAsia="zh-CN"/>
    </w:rPr>
  </w:style>
  <w:style w:type="paragraph" w:customStyle="1" w:styleId="aa">
    <w:name w:val="Содержимое таблицы"/>
    <w:basedOn w:val="a"/>
    <w:rsid w:val="00670D95"/>
    <w:pPr>
      <w:suppressLineNumbers/>
    </w:pPr>
  </w:style>
  <w:style w:type="paragraph" w:customStyle="1" w:styleId="ab">
    <w:name w:val="Заголовок таблицы"/>
    <w:basedOn w:val="aa"/>
    <w:rsid w:val="00670D95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0064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f0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D49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3D0C"/>
    <w:pPr>
      <w:widowControl w:val="0"/>
      <w:autoSpaceDE w:val="0"/>
      <w:autoSpaceDN w:val="0"/>
    </w:pPr>
    <w:rPr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87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D3E9-53E1-494C-A083-F7F32A73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54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Герасимова Зоя Николаевна</cp:lastModifiedBy>
  <cp:revision>8</cp:revision>
  <cp:lastPrinted>2020-05-14T05:10:00Z</cp:lastPrinted>
  <dcterms:created xsi:type="dcterms:W3CDTF">2020-05-14T04:07:00Z</dcterms:created>
  <dcterms:modified xsi:type="dcterms:W3CDTF">2020-05-15T05:34:00Z</dcterms:modified>
</cp:coreProperties>
</file>