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20" w:rsidRDefault="00F057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5720" w:rsidRDefault="00F05720">
      <w:pPr>
        <w:pStyle w:val="ConsPlusNormal"/>
        <w:jc w:val="both"/>
        <w:outlineLvl w:val="0"/>
      </w:pPr>
    </w:p>
    <w:p w:rsidR="00F05720" w:rsidRDefault="00F05720">
      <w:pPr>
        <w:pStyle w:val="ConsPlusTitle"/>
        <w:jc w:val="center"/>
      </w:pPr>
      <w:r>
        <w:t>ДУМА АРСЕНЬЕВСКОГО ГОРОДСКОГО ОКРУГА</w:t>
      </w:r>
    </w:p>
    <w:p w:rsidR="00F05720" w:rsidRDefault="00F05720">
      <w:pPr>
        <w:pStyle w:val="ConsPlusTitle"/>
        <w:jc w:val="center"/>
      </w:pPr>
      <w:r>
        <w:t>ПРИМОРСКОГО КРАЯ</w:t>
      </w:r>
    </w:p>
    <w:p w:rsidR="00F05720" w:rsidRDefault="00F05720">
      <w:pPr>
        <w:pStyle w:val="ConsPlusTitle"/>
        <w:jc w:val="center"/>
      </w:pPr>
    </w:p>
    <w:p w:rsidR="00F05720" w:rsidRDefault="00F05720">
      <w:pPr>
        <w:pStyle w:val="ConsPlusTitle"/>
        <w:jc w:val="center"/>
      </w:pPr>
      <w:r>
        <w:t>МУНИЦИПАЛЬНЫЙ ПРАВОВОЙ АКТ</w:t>
      </w:r>
    </w:p>
    <w:p w:rsidR="00F05720" w:rsidRDefault="00F05720">
      <w:pPr>
        <w:pStyle w:val="ConsPlusTitle"/>
        <w:jc w:val="center"/>
      </w:pPr>
      <w:r>
        <w:t>от 11 июля 2007 г. N 118-МПА</w:t>
      </w:r>
    </w:p>
    <w:p w:rsidR="00F05720" w:rsidRDefault="00F05720">
      <w:pPr>
        <w:pStyle w:val="ConsPlusTitle"/>
        <w:jc w:val="center"/>
      </w:pPr>
    </w:p>
    <w:p w:rsidR="00F05720" w:rsidRDefault="00F05720">
      <w:pPr>
        <w:pStyle w:val="ConsPlusTitle"/>
        <w:jc w:val="center"/>
      </w:pPr>
      <w:r>
        <w:t>ПОЛОЖЕНИЕ</w:t>
      </w:r>
    </w:p>
    <w:p w:rsidR="00F05720" w:rsidRDefault="00F05720">
      <w:pPr>
        <w:pStyle w:val="ConsPlusTitle"/>
        <w:jc w:val="center"/>
      </w:pPr>
      <w:r>
        <w:t>О ДОСКЕ ПОЧЕТА АРСЕНЬЕВСКОГО ГОРОДСКОГО ОКРУГА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right"/>
      </w:pPr>
      <w:r>
        <w:t>Принят</w:t>
      </w:r>
    </w:p>
    <w:p w:rsidR="00F05720" w:rsidRDefault="00F05720">
      <w:pPr>
        <w:pStyle w:val="ConsPlusNormal"/>
        <w:jc w:val="right"/>
      </w:pPr>
      <w:r>
        <w:t>Думой Арсеньевского</w:t>
      </w:r>
    </w:p>
    <w:p w:rsidR="00F05720" w:rsidRDefault="00F05720">
      <w:pPr>
        <w:pStyle w:val="ConsPlusNormal"/>
        <w:jc w:val="right"/>
      </w:pPr>
      <w:r>
        <w:t>городского округа</w:t>
      </w:r>
    </w:p>
    <w:p w:rsidR="00F05720" w:rsidRDefault="00F05720">
      <w:pPr>
        <w:pStyle w:val="ConsPlusNormal"/>
        <w:jc w:val="right"/>
      </w:pPr>
      <w:r>
        <w:t>11 июля 2007 года</w:t>
      </w:r>
    </w:p>
    <w:p w:rsidR="00F05720" w:rsidRDefault="00F057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57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5720" w:rsidRDefault="00F057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5720" w:rsidRDefault="00F05720">
            <w:pPr>
              <w:pStyle w:val="ConsPlusNormal"/>
              <w:jc w:val="center"/>
            </w:pPr>
            <w:r>
              <w:rPr>
                <w:color w:val="392C69"/>
              </w:rPr>
              <w:t>(в ред. Муниципальных правовых актов</w:t>
            </w:r>
          </w:p>
          <w:p w:rsidR="00F05720" w:rsidRDefault="00F05720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F05720" w:rsidRDefault="00F057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01.11.2010 </w:t>
            </w:r>
            <w:hyperlink r:id="rId5" w:history="1">
              <w:r>
                <w:rPr>
                  <w:color w:val="0000FF"/>
                </w:rPr>
                <w:t>N 55-МПА</w:t>
              </w:r>
            </w:hyperlink>
            <w:r>
              <w:rPr>
                <w:color w:val="392C69"/>
              </w:rPr>
              <w:t xml:space="preserve">, от 04.06.2012 </w:t>
            </w:r>
            <w:hyperlink r:id="rId6" w:history="1">
              <w:r>
                <w:rPr>
                  <w:color w:val="0000FF"/>
                </w:rPr>
                <w:t>N 42-МПА</w:t>
              </w:r>
            </w:hyperlink>
            <w:r>
              <w:rPr>
                <w:color w:val="392C69"/>
              </w:rPr>
              <w:t>,</w:t>
            </w:r>
          </w:p>
          <w:p w:rsidR="00F05720" w:rsidRDefault="00F057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7" w:history="1">
              <w:r>
                <w:rPr>
                  <w:color w:val="0000FF"/>
                </w:rPr>
                <w:t>N 154-МПА</w:t>
              </w:r>
            </w:hyperlink>
            <w:r>
              <w:rPr>
                <w:color w:val="392C69"/>
              </w:rPr>
              <w:t xml:space="preserve">, от 05.10.2015 </w:t>
            </w:r>
            <w:hyperlink r:id="rId8" w:history="1">
              <w:r>
                <w:rPr>
                  <w:color w:val="0000FF"/>
                </w:rPr>
                <w:t>N 284-МПА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center"/>
        <w:outlineLvl w:val="0"/>
      </w:pPr>
      <w:r>
        <w:t>1. ОБЩИЕ ПОЛОЖЕНИЯ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ind w:firstLine="540"/>
        <w:jc w:val="both"/>
      </w:pPr>
      <w:r>
        <w:t>1.1. Положение регламентирует порядок занесения граждан на Доску Почета (далее по тексту - Доска Почета) Арсеньевского городского округа (далее по тексту - городской округ), а также порядок ее оформления.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1.2. Общее количество мест на Доске Почета - 24. Места распределяются администрацией городского округа между предприятиями, учреждениями различных форм собственности и общественными организациями, зарегистрированными в установленном порядке и действующими на территории городского округа.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1.3. Доска Почета располагается в месте, доступном гражданам для ознакомления.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1.4. На Доску Почета помещаются цветные фотографии размером 20 см х 30 см с указанием под ними фамилии, имени, отчества, должности или профессии, наименования предприятия, учреждения, общественной организации, выдвинувших лицо, заносимое на Доску Почета.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1.5. Занесение на Доску Почета осуществляется ко Дню городского округа сроком на один год.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1.6. Лицам, занесенным на Доску Почета, вручаются решение Думы городского округа "О занесении на Доску Почета Арсеньевского городского округа" и свидетельство "О занесении на Доску Почета Арсеньевского городского округа".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1.7. Учет и регистрация лиц, занесенных на Доску Почета, осуществляются администрацией городского округа.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center"/>
        <w:outlineLvl w:val="0"/>
      </w:pPr>
      <w:r>
        <w:t>2. ПОРЯДОК ЗАНЕСЕНИЯ НА ДОСКУ ПОЧЕТА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ind w:firstLine="540"/>
        <w:jc w:val="both"/>
      </w:pPr>
      <w:r>
        <w:t xml:space="preserve">2.1. Для занесения на Доску Почета предприятиями, учреждениями, общественными организациями, действующими на территории городского округа, выдвигаются кандидаты, достигшие высоких показателей в государственном, хозяйственном, социально-экономическом, </w:t>
      </w:r>
      <w:r>
        <w:lastRenderedPageBreak/>
        <w:t>культурном развитии городского округа и принимающие активное участие в решении проблем городского округа, имеющие государственные, муниципальные, ведомственные и другие награды и поощрения. Администрация городского округа объявляет о начале приема документов для занесения на Доску почета, сроках подачи и месте их принятия путем публикации не позднее 1 мая текущего года соответствующего объявления в средствах массовой информации.</w:t>
      </w:r>
    </w:p>
    <w:p w:rsidR="00F05720" w:rsidRDefault="00F05720">
      <w:pPr>
        <w:pStyle w:val="ConsPlusNormal"/>
        <w:jc w:val="both"/>
      </w:pPr>
      <w:r>
        <w:t xml:space="preserve">(в ред. Муниципального правового </w:t>
      </w:r>
      <w:hyperlink r:id="rId9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01.04.2014 N 154-МПА)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2.2. На кандидатов на Доску Почета в администрацию городского округа представляются следующие документы: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- совместное ходатайство руководителя и профсоюзного комитета, решение собрания трудового коллектива предприятия, учреждения, общественной организации, с указанием фамилии, имени, отчества, должности или профессии кандидата;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- характеристика с отражением трудовой, общественной деятельности, награждений и поощрений, с указанием конкретных заслуг и достижений кандидата, сведения о его личном вкладе в социально-экономическое развитие городского округа;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- письменное согласие кандидата на занесение его на Доску Почета Арсеньевского городского округа.</w:t>
      </w:r>
    </w:p>
    <w:p w:rsidR="00F05720" w:rsidRDefault="00F05720">
      <w:pPr>
        <w:pStyle w:val="ConsPlusNormal"/>
        <w:jc w:val="both"/>
      </w:pPr>
      <w:r>
        <w:t xml:space="preserve">(введено Муниципальным правовым </w:t>
      </w:r>
      <w:hyperlink r:id="rId10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01.11.2010 N 55-МПА)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2.3. Документы для занесения на Доску Почета представляются в администрацию городского округа не позднее 1 июня текущего года.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Рассмотрение и отбор организаций, предприятий, учреждений и граждан - кандидатов для занесения на Доску почета, осуществляется специально созданной комиссией по рассмотрению документов кандидатов на занесение на Доску Почета городского округа (далее - Комиссия).</w:t>
      </w:r>
    </w:p>
    <w:p w:rsidR="00F05720" w:rsidRDefault="00F05720">
      <w:pPr>
        <w:pStyle w:val="ConsPlusNormal"/>
        <w:jc w:val="both"/>
      </w:pPr>
      <w:r>
        <w:t xml:space="preserve">(абзац введен Муниципальным правовым </w:t>
      </w:r>
      <w:hyperlink r:id="rId11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01.04.2014 N 154-МПА)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Комиссия состоит из девяти человек и формируется Думой Арсеньевского городского округа на паритетных началах из представителей Думы Арсеньевского городского округа, администрации Арсеньевского городского округа и представителей общественных организаций. Состав Комиссии формируется ежегодно до 1 июня текущего года и утверждается решением Думы Арсеньевского городского округа.</w:t>
      </w:r>
    </w:p>
    <w:p w:rsidR="00F05720" w:rsidRDefault="00F05720">
      <w:pPr>
        <w:pStyle w:val="ConsPlusNormal"/>
        <w:jc w:val="both"/>
      </w:pPr>
      <w:r>
        <w:t xml:space="preserve">(абзац введен Муниципальным правовым </w:t>
      </w:r>
      <w:hyperlink r:id="rId12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01.04.2014 N 154-МПА)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Комиссия рассматривает поступившие предложения и принимает решение о занесении на Доску почета. Решение комиссии принимается открытым голосованием простым большинством голосов от списочного состава комиссии и оформляется протоколом.</w:t>
      </w:r>
    </w:p>
    <w:p w:rsidR="00F05720" w:rsidRDefault="00F05720">
      <w:pPr>
        <w:pStyle w:val="ConsPlusNormal"/>
        <w:jc w:val="both"/>
      </w:pPr>
      <w:r>
        <w:t xml:space="preserve">(абзац введен Муниципальным правовым </w:t>
      </w:r>
      <w:hyperlink r:id="rId13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01.04.2014 N 154-МПА)</w:t>
      </w:r>
    </w:p>
    <w:p w:rsidR="00F05720" w:rsidRDefault="00F05720">
      <w:pPr>
        <w:pStyle w:val="ConsPlusNormal"/>
        <w:jc w:val="both"/>
      </w:pPr>
      <w:r>
        <w:t xml:space="preserve">(п. 2.3 в ред. Муниципального правового </w:t>
      </w:r>
      <w:hyperlink r:id="rId14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04.06.2012 N 42-МПА)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 xml:space="preserve">2.4. По итогам рассмотрения поступивших ходатайств Комиссия принимает решение, содержащее перечень граждан, рекомендуемых для занесения на Доску почета, и не позднее 1 июля текущего года направляет его совместно с ходатайствами в Думу городского округа для подготовки проекта решения Думы городского округа о занесении на Доску почета и дальнейшего рассмотрения на заседании постоянной комиссии Думы городского округа, к вопросам ведения которой относится рассмотрение данного вопроса, в соответствии с регламентом Думы городского </w:t>
      </w:r>
      <w:r>
        <w:lastRenderedPageBreak/>
        <w:t>округа.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Решение комиссии носит рекомендательный характер.</w:t>
      </w:r>
    </w:p>
    <w:p w:rsidR="00F05720" w:rsidRDefault="00F05720">
      <w:pPr>
        <w:pStyle w:val="ConsPlusNormal"/>
        <w:jc w:val="both"/>
      </w:pPr>
      <w:r>
        <w:t xml:space="preserve">(п. 2.4 в ред. Муниципального правового </w:t>
      </w:r>
      <w:hyperlink r:id="rId15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01.04.2014 N 154-МПА)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2.5. Свидетельство "О занесении на Доску Почета Арсеньевского городского округа" вручается в торжественной обстановке главой городского округа и председателем Думы городского округа.</w:t>
      </w:r>
    </w:p>
    <w:p w:rsidR="00F05720" w:rsidRDefault="00F05720">
      <w:pPr>
        <w:pStyle w:val="ConsPlusNormal"/>
        <w:jc w:val="both"/>
      </w:pPr>
      <w:r>
        <w:t xml:space="preserve">(в ред. Муниципального правового </w:t>
      </w:r>
      <w:hyperlink r:id="rId16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05.10.2015 N 284-МПА)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2.6. Повторное занесение на Доску Почета осуществляется не ранее, чем через 5 лет после предыдущего занесения.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center"/>
        <w:outlineLvl w:val="0"/>
      </w:pPr>
      <w:r>
        <w:t>3. ПОРЯДОК ОФОРМЛЕНИЯ ДОСКИ ПОЧЕТА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ind w:firstLine="540"/>
        <w:jc w:val="both"/>
      </w:pPr>
      <w:r>
        <w:t>Администрация городского округа: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- В срок до 10 сентября текущего года организует фотографирование лиц, утвержденных Думой городского округа для занесения на Доску Почета;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- До 15 сентября текущего года организует оформление Доски Почета и определяет ее месторасположение;</w:t>
      </w:r>
    </w:p>
    <w:p w:rsidR="00F05720" w:rsidRDefault="00F05720">
      <w:pPr>
        <w:pStyle w:val="ConsPlusNormal"/>
        <w:spacing w:before="220"/>
        <w:ind w:firstLine="540"/>
        <w:jc w:val="both"/>
      </w:pPr>
      <w:r>
        <w:t>- Обеспечивает сохранность и эстетический вид Доски Почета.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center"/>
        <w:outlineLvl w:val="0"/>
      </w:pPr>
      <w:r>
        <w:t>4. ВСТУПЛЕНИЕ В СИЛУ НАСТОЯЩЕГО</w:t>
      </w:r>
    </w:p>
    <w:p w:rsidR="00F05720" w:rsidRDefault="00F05720">
      <w:pPr>
        <w:pStyle w:val="ConsPlusNormal"/>
        <w:jc w:val="center"/>
      </w:pPr>
      <w:r>
        <w:t>МУНИЦИПАЛЬНОГО ПРАВОВОГО АКТА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ind w:firstLine="540"/>
        <w:jc w:val="both"/>
      </w:pPr>
      <w:r>
        <w:t>1. Настоящее решение вступает в силу после опубликования.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right"/>
      </w:pPr>
      <w:r>
        <w:t>Глава Арсеньевского городского округа</w:t>
      </w:r>
    </w:p>
    <w:p w:rsidR="00F05720" w:rsidRDefault="00F05720">
      <w:pPr>
        <w:pStyle w:val="ConsPlusNormal"/>
        <w:jc w:val="right"/>
      </w:pPr>
      <w:r>
        <w:t>Н.Г.ЕРМИШКИН</w:t>
      </w: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jc w:val="both"/>
      </w:pPr>
    </w:p>
    <w:p w:rsidR="00F05720" w:rsidRDefault="00F057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10F" w:rsidRDefault="00B2710F">
      <w:bookmarkStart w:id="0" w:name="_GoBack"/>
      <w:bookmarkEnd w:id="0"/>
    </w:p>
    <w:sectPr w:rsidR="00B2710F" w:rsidSect="0026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20"/>
    <w:rsid w:val="00B2710F"/>
    <w:rsid w:val="00F0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5AD0-2A3F-44CD-904E-A839B47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5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D1E0565C867FAE5198598508EF78A98B7E957A1B814E175AFCF578CBEF7E61B4C9F3BCE579445B65DE1488F4B0DA636D7362B4FEB79C40FEF7EX9WCG" TargetMode="External"/><Relationship Id="rId13" Type="http://schemas.openxmlformats.org/officeDocument/2006/relationships/hyperlink" Target="consultantplus://offline/ref=975D1E0565C867FAE5198598508EF78A98B7E957AEB214E673AFCF578CBEF7E61B4C9F3BCE579445B65DE04C8F4B0DA636D7362B4FEB79C40FEF7EX9WC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5D1E0565C867FAE5198598508EF78A98B7E957AEB214E673AFCF578CBEF7E61B4C9F3BCE579445B65DE1488F4B0DA636D7362B4FEB79C40FEF7EX9WCG" TargetMode="External"/><Relationship Id="rId12" Type="http://schemas.openxmlformats.org/officeDocument/2006/relationships/hyperlink" Target="consultantplus://offline/ref=975D1E0565C867FAE5198598508EF78A98B7E957AEB214E673AFCF578CBEF7E61B4C9F3BCE579445B65DE04D8F4B0DA636D7362B4FEB79C40FEF7EX9WC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5D1E0565C867FAE5198598508EF78A98B7E957A1B814E175AFCF578CBEF7E61B4C9F3BCE579445B65DE14B8F4B0DA636D7362B4FEB79C40FEF7EX9W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5D1E0565C867FAE5198598508EF78A98B7E957ACB313E677AFCF578CBEF7E61B4C9F3BCE579445B65DE1488F4B0DA636D7362B4FEB79C40FEF7EX9WCG" TargetMode="External"/><Relationship Id="rId11" Type="http://schemas.openxmlformats.org/officeDocument/2006/relationships/hyperlink" Target="consultantplus://offline/ref=975D1E0565C867FAE5198598508EF78A98B7E957AEB214E673AFCF578CBEF7E61B4C9F3BCE579445B65DE1458F4B0DA636D7362B4FEB79C40FEF7EX9WCG" TargetMode="External"/><Relationship Id="rId5" Type="http://schemas.openxmlformats.org/officeDocument/2006/relationships/hyperlink" Target="consultantplus://offline/ref=975D1E0565C867FAE5198598508EF78A98B7E957ADB210E777AFCF578CBEF7E61B4C9F3BCE579445B65DE1488F4B0DA636D7362B4FEB79C40FEF7EX9WCG" TargetMode="External"/><Relationship Id="rId15" Type="http://schemas.openxmlformats.org/officeDocument/2006/relationships/hyperlink" Target="consultantplus://offline/ref=975D1E0565C867FAE5198598508EF78A98B7E957AEB214E673AFCF578CBEF7E61B4C9F3BCE579445B65DE04F8F4B0DA636D7362B4FEB79C40FEF7EX9WCG" TargetMode="External"/><Relationship Id="rId10" Type="http://schemas.openxmlformats.org/officeDocument/2006/relationships/hyperlink" Target="consultantplus://offline/ref=975D1E0565C867FAE5198598508EF78A98B7E957ADB210E777AFCF578CBEF7E61B4C9F3BCE579445B65DE14B8F4B0DA636D7362B4FEB79C40FEF7EX9W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5D1E0565C867FAE5198598508EF78A98B7E957AEB214E673AFCF578CBEF7E61B4C9F3BCE579445B65DE14B8F4B0DA636D7362B4FEB79C40FEF7EX9WCG" TargetMode="External"/><Relationship Id="rId14" Type="http://schemas.openxmlformats.org/officeDocument/2006/relationships/hyperlink" Target="consultantplus://offline/ref=975D1E0565C867FAE5198598508EF78A98B7E957ACB313E677AFCF578CBEF7E61B4C9F3BCE579445B65DE14B8F4B0DA636D7362B4FEB79C40FEF7EX9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Зинкина Анжелика Сергеевна</cp:lastModifiedBy>
  <cp:revision>1</cp:revision>
  <dcterms:created xsi:type="dcterms:W3CDTF">2020-05-06T06:22:00Z</dcterms:created>
  <dcterms:modified xsi:type="dcterms:W3CDTF">2020-05-06T06:23:00Z</dcterms:modified>
</cp:coreProperties>
</file>