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bCs/>
          <w:color w:val="000000"/>
          <w:spacing w:val="20"/>
          <w:sz w:val="26"/>
          <w:szCs w:val="26"/>
        </w:rPr>
        <w:drawing>
          <wp:inline distT="0" distB="0" distL="0" distR="0">
            <wp:extent cx="591820" cy="74866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9" t="-55" r="-69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fill="FFFFFF" w:val="clear"/>
        <w:ind w:hanging="0"/>
        <w:jc w:val="center"/>
        <w:rPr>
          <w:rFonts w:ascii="Times New Roman" w:hAnsi="Times New Roman" w:eastAsia="Calibri" w:cs="Times New Roman"/>
          <w:b/>
          <w:b/>
          <w:sz w:val="32"/>
          <w:szCs w:val="32"/>
        </w:rPr>
      </w:pPr>
      <w:r>
        <w:rPr>
          <w:rFonts w:eastAsia="Calibri" w:cs="Times New Roman" w:ascii="Times New Roman" w:hAnsi="Times New Roman"/>
          <w:b/>
          <w:color w:val="000000"/>
          <w:sz w:val="32"/>
          <w:szCs w:val="32"/>
        </w:rPr>
        <w:t>П О С Т А Н О В Л Е Н И Е</w:t>
      </w:r>
    </w:p>
    <w:p>
      <w:pPr>
        <w:pStyle w:val="Normal"/>
        <w:shd w:fill="FFFFFF" w:val="clear"/>
        <w:ind w:hanging="0"/>
        <w:jc w:val="center"/>
        <w:rPr>
          <w:rFonts w:ascii="Times New Roman" w:hAnsi="Times New Roman" w:eastAsia="Calibri" w:cs="Times New Roman"/>
          <w:b/>
          <w:b/>
          <w:color w:val="000000"/>
          <w:sz w:val="26"/>
          <w:szCs w:val="26"/>
        </w:rPr>
      </w:pPr>
      <w:r>
        <w:rPr>
          <w:rFonts w:eastAsia="Calibri" w:cs="Times New Roman" w:ascii="Times New Roman" w:hAnsi="Times New Roman"/>
          <w:b/>
          <w:color w:val="000000"/>
          <w:sz w:val="26"/>
          <w:szCs w:val="26"/>
        </w:rPr>
      </w:r>
    </w:p>
    <w:p>
      <w:pPr>
        <w:sectPr>
          <w:headerReference w:type="default" r:id="rId3"/>
          <w:type w:val="nextPage"/>
          <w:pgSz w:w="11906" w:h="16838"/>
          <w:pgMar w:left="1134" w:right="850" w:header="708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</w:pPr>
    </w:p>
    <w:tbl>
      <w:tblPr>
        <w:tblW w:w="8793" w:type="dxa"/>
        <w:jc w:val="center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5101"/>
        <w:gridCol w:w="509"/>
        <w:gridCol w:w="1174"/>
      </w:tblGrid>
      <w:tr>
        <w:trPr/>
        <w:tc>
          <w:tcPr>
            <w:tcW w:w="200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124" w:right="-108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5101" w:type="dxa"/>
            <w:tcBorders/>
            <w:shd w:fill="auto" w:val="clear"/>
          </w:tcPr>
          <w:p>
            <w:pPr>
              <w:pStyle w:val="Normal"/>
              <w:spacing w:before="0" w:after="200"/>
              <w:ind w:left="-295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6"/>
              </w:rPr>
              <w:t>г.Арсеньев</w:t>
            </w:r>
          </w:p>
        </w:tc>
        <w:tc>
          <w:tcPr>
            <w:tcW w:w="509" w:type="dxa"/>
            <w:tcBorders/>
            <w:shd w:fill="auto" w:val="clear"/>
          </w:tcPr>
          <w:p>
            <w:pPr>
              <w:pStyle w:val="Normal"/>
              <w:spacing w:before="0" w:after="200"/>
              <w:ind w:hanging="0"/>
              <w:rPr>
                <w:rFonts w:ascii="Times New Roman" w:hAnsi="Times New Roman" w:eastAsia="Calibri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200"/>
              <w:ind w:left="-108" w:right="-132" w:hanging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6"/>
                <w:szCs w:val="26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header="708" w:top="1134" w:footer="0" w:bottom="1134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tabs>
          <w:tab w:val="clear" w:pos="708"/>
          <w:tab w:val="left" w:pos="8041" w:leader="none"/>
        </w:tabs>
        <w:jc w:val="center"/>
        <w:rPr>
          <w:b/>
          <w:b/>
          <w:szCs w:val="26"/>
        </w:rPr>
      </w:pPr>
      <w:r>
        <w:rPr/>
      </w:r>
    </w:p>
    <w:p>
      <w:pPr>
        <w:pStyle w:val="Normal"/>
        <w:tabs>
          <w:tab w:val="clear" w:pos="708"/>
          <w:tab w:val="left" w:pos="8041" w:leader="none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bookmarkStart w:id="0" w:name="_Hlk20145526"/>
      <w:r>
        <w:rPr>
          <w:rFonts w:ascii="Times New Roman" w:hAnsi="Times New Roman"/>
          <w:b/>
          <w:sz w:val="26"/>
          <w:szCs w:val="26"/>
        </w:rPr>
        <w:t>«Перевод земель или земельных участков в составе таких земель из одной категории в другую»</w:t>
      </w:r>
      <w:bookmarkEnd w:id="0"/>
    </w:p>
    <w:p>
      <w:pPr>
        <w:pStyle w:val="Normal"/>
        <w:tabs>
          <w:tab w:val="clear" w:pos="708"/>
          <w:tab w:val="left" w:pos="8041" w:leader="none"/>
        </w:tabs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 w:before="0" w:after="0"/>
        <w:ind w:left="0" w:right="0"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В соответствии с Земельным кодексом Российской Федерации, Федеральным </w:t>
      </w:r>
      <w:hyperlink r:id="rId4">
        <w:r>
          <w:rPr>
            <w:rStyle w:val="Style13"/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 июля 2010 года № 210-ФЗ "Об организации предоставления государственных и муниципальных услуг",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 муниципальных услуг, оказываемых на территории Арсеньевского городского округа», руководствуясь </w:t>
      </w:r>
      <w:hyperlink r:id="rId5">
        <w:r>
          <w:rPr>
            <w:rStyle w:val="Style13"/>
            <w:rFonts w:ascii="Times New Roman" w:hAnsi="Times New Roman"/>
            <w:sz w:val="26"/>
            <w:szCs w:val="26"/>
          </w:rPr>
          <w:t>Уставом</w:t>
        </w:r>
      </w:hyperlink>
      <w:r>
        <w:rPr>
          <w:rFonts w:ascii="Times New Roman" w:hAnsi="Times New Roman"/>
          <w:sz w:val="26"/>
          <w:szCs w:val="26"/>
        </w:rPr>
        <w:t xml:space="preserve"> Арсеньевского городского округа,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 w:before="0" w:after="0"/>
        <w:ind w:left="0" w:right="0" w:firstLine="709"/>
        <w:jc w:val="both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360" w:before="0" w:after="198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Утвердить прилагаемый административный регламент предоставления муниципальной услуги «</w:t>
      </w:r>
      <w:r>
        <w:rPr>
          <w:rFonts w:ascii="Times New Roman" w:hAnsi="Times New Roman"/>
          <w:sz w:val="26"/>
          <w:szCs w:val="26"/>
        </w:rPr>
        <w:t>Перевод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bCs/>
          <w:sz w:val="26"/>
          <w:szCs w:val="26"/>
        </w:rPr>
        <w:t xml:space="preserve">».  </w:t>
      </w:r>
    </w:p>
    <w:p>
      <w:pPr>
        <w:pStyle w:val="Normal"/>
        <w:spacing w:lineRule="auto" w:line="360" w:before="0" w:after="198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Организационному управлению администрации </w:t>
      </w:r>
      <w:r>
        <w:rPr>
          <w:rFonts w:ascii="Times New Roman" w:hAnsi="Times New Roman"/>
          <w:bCs/>
          <w:sz w:val="26"/>
          <w:szCs w:val="26"/>
        </w:rPr>
        <w:t>Арсеньевского городского округа (Абрамова) направить настоящее постановление для официального опубликования и размещения на официальном сайте</w:t>
      </w:r>
      <w:r>
        <w:rPr>
          <w:rFonts w:ascii="Times New Roman" w:hAnsi="Times New Roman"/>
          <w:sz w:val="26"/>
          <w:szCs w:val="26"/>
        </w:rPr>
        <w:t xml:space="preserve"> администрации </w:t>
      </w:r>
      <w:r>
        <w:rPr>
          <w:rFonts w:ascii="Times New Roman" w:hAnsi="Times New Roman"/>
          <w:bCs/>
          <w:sz w:val="26"/>
          <w:szCs w:val="26"/>
        </w:rPr>
        <w:t>Арсеньевского городского округа.</w:t>
      </w:r>
    </w:p>
    <w:p>
      <w:pPr>
        <w:pStyle w:val="Normal"/>
        <w:spacing w:lineRule="auto" w:line="360" w:before="0" w:after="198"/>
        <w:ind w:left="0" w:righ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8080" w:leader="none"/>
        </w:tabs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Главы городского округа                                                                          В.С. Пивень</w:t>
      </w:r>
    </w:p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 w:before="0" w:after="0"/>
        <w:ind w:hanging="0"/>
        <w:jc w:val="both"/>
        <w:rPr>
          <w:rFonts w:ascii="Times New Roman" w:hAnsi="Times New Roman" w:eastAsia="Calibri" w:cs="Times New Roman"/>
          <w:b/>
          <w:b/>
          <w:sz w:val="26"/>
          <w:szCs w:val="26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УТВЕРЖДЕН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постановлением администрации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Арсеньевского городского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от ____________ г.  № 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Административный регламент предоставления муниципальной услуги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b/>
          <w:sz w:val="26"/>
          <w:szCs w:val="26"/>
        </w:rPr>
        <w:t>Перевод земель или земельных участков в составе таких земель из одной категории в другую»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center"/>
        <w:rPr>
          <w:rFonts w:ascii="Times New Roman" w:hAnsi="Times New Roman" w:eastAsia="Times New Roman"/>
          <w:b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I.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Общие положения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1134" w:hanging="425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Настоящий административный регламент предоставления муниципальной услуги «Перевод земель или земельных участков в составе таких земель из одной категории в другую</w:t>
      </w:r>
      <w:r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«Перевод земель или земельных участков в составе таких земель из одной категории в другую»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управлением имущественных отношений администрации Арсеньевского городского округа (далее – Управление) полномочий по предоставлению муниципальной услуги.</w:t>
      </w:r>
    </w:p>
    <w:p>
      <w:pPr>
        <w:pStyle w:val="Normal"/>
        <w:numPr>
          <w:ilvl w:val="1"/>
          <w:numId w:val="8"/>
        </w:numPr>
        <w:tabs>
          <w:tab w:val="clear" w:pos="708"/>
          <w:tab w:val="left" w:pos="1134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FFFFFF" w:val="clear"/>
        </w:rPr>
        <w:t>Муниципальная услуга предоставляется в отношении земель или земельных участков в составе: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а) земель (земельных участков), находящихся в муниципальной собственности Арсеньевского городского округа, за исключением земель сельскохозяйственного назначения или земельных участков в составе таких земель;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fill="FFFFFF" w:val="clear"/>
        </w:rPr>
        <w:t>в) земель (земельных участков), государственная собственность на которые не разграничена, за исключением земель сельскохозяйственного назначения или земельных участков в составе таких земель, а также необходимых для федеральных нужд.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Круг заявителей</w:t>
      </w:r>
    </w:p>
    <w:p>
      <w:pPr>
        <w:pStyle w:val="Normal"/>
        <w:spacing w:lineRule="auto" w:line="360" w:before="0"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Муниципальная услуга предоставляется физическим и юридическим лицам (далее - заявитель).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>
      <w:pPr>
        <w:pStyle w:val="Normal"/>
        <w:rPr/>
      </w:pPr>
      <w:r>
        <w:rPr>
          <w:sz w:val="26"/>
          <w:szCs w:val="26"/>
        </w:rPr>
        <w:t>3.1. Порядок получения информации по вопросам предоставления муниципальной услуги</w:t>
      </w:r>
    </w:p>
    <w:p>
      <w:pPr>
        <w:pStyle w:val="Normal"/>
        <w:rPr/>
      </w:pPr>
      <w:r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>
      <w:pPr>
        <w:pStyle w:val="Normal"/>
        <w:rPr/>
      </w:pPr>
      <w:r>
        <w:rPr>
          <w:sz w:val="26"/>
          <w:szCs w:val="26"/>
        </w:rPr>
        <w:t>специалистом Управления, ответственным за предоставление муниципальной услуги, при непосредственном обращении заявителя в Управление;</w:t>
      </w:r>
    </w:p>
    <w:p>
      <w:pPr>
        <w:pStyle w:val="Normal"/>
        <w:rPr/>
      </w:pPr>
      <w:r>
        <w:rPr>
          <w:spacing w:val="-14"/>
          <w:sz w:val="26"/>
          <w:szCs w:val="26"/>
        </w:rPr>
        <w:t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администрацией Арсеньевского городского округа;</w:t>
      </w:r>
    </w:p>
    <w:p>
      <w:pPr>
        <w:pStyle w:val="Normal"/>
        <w:rPr/>
      </w:pPr>
      <w:r>
        <w:rPr>
          <w:sz w:val="26"/>
          <w:szCs w:val="26"/>
        </w:rPr>
        <w:t>посредством телефонной, факсимильной и иных средств телекоммуникационной связи;</w:t>
      </w:r>
    </w:p>
    <w:p>
      <w:pPr>
        <w:pStyle w:val="Normal"/>
        <w:rPr/>
      </w:pPr>
      <w:r>
        <w:rPr>
          <w:sz w:val="26"/>
          <w:szCs w:val="26"/>
        </w:rPr>
        <w:t>путем оформления информационных стендов в местах предоставления муниципальной услуги;</w:t>
      </w:r>
    </w:p>
    <w:p>
      <w:pPr>
        <w:pStyle w:val="Normal"/>
        <w:rPr/>
      </w:pPr>
      <w:r>
        <w:rPr>
          <w:spacing w:val="-16"/>
          <w:sz w:val="26"/>
          <w:szCs w:val="26"/>
        </w:rPr>
        <w:t>путем размещения информации на официальном сайте администрации Арсеньевского городского округа</w:t>
      </w:r>
      <w:r>
        <w:rPr>
          <w:bCs/>
          <w:spacing w:val="-16"/>
          <w:sz w:val="26"/>
          <w:szCs w:val="26"/>
        </w:rPr>
        <w:t xml:space="preserve"> </w:t>
      </w:r>
      <w:r>
        <w:rPr>
          <w:bCs/>
          <w:spacing w:val="-16"/>
          <w:sz w:val="26"/>
          <w:szCs w:val="26"/>
          <w:lang w:val="en-US"/>
        </w:rPr>
        <w:t>http</w:t>
      </w:r>
      <w:r>
        <w:rPr>
          <w:bCs/>
          <w:spacing w:val="-16"/>
          <w:sz w:val="26"/>
          <w:szCs w:val="26"/>
        </w:rPr>
        <w:t>://</w:t>
      </w:r>
      <w:r>
        <w:rPr>
          <w:bCs/>
          <w:spacing w:val="-16"/>
          <w:sz w:val="26"/>
          <w:szCs w:val="26"/>
          <w:lang w:val="en-US"/>
        </w:rPr>
        <w:t>ars</w:t>
      </w:r>
      <w:r>
        <w:rPr>
          <w:bCs/>
          <w:spacing w:val="-16"/>
          <w:sz w:val="26"/>
          <w:szCs w:val="26"/>
        </w:rPr>
        <w:t>.</w:t>
      </w:r>
      <w:r>
        <w:rPr>
          <w:bCs/>
          <w:spacing w:val="-16"/>
          <w:sz w:val="26"/>
          <w:szCs w:val="26"/>
          <w:lang w:val="en-US"/>
        </w:rPr>
        <w:t>town</w:t>
      </w:r>
      <w:r>
        <w:rPr>
          <w:bCs/>
          <w:spacing w:val="-16"/>
          <w:sz w:val="26"/>
          <w:szCs w:val="26"/>
        </w:rPr>
        <w:t>/</w:t>
      </w:r>
      <w:r>
        <w:rPr>
          <w:spacing w:val="-16"/>
          <w:sz w:val="26"/>
          <w:szCs w:val="26"/>
        </w:rPr>
        <w:t xml:space="preserve">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>
      <w:pPr>
        <w:pStyle w:val="Normal"/>
        <w:rPr/>
      </w:pPr>
      <w:r>
        <w:rPr>
          <w:sz w:val="26"/>
          <w:szCs w:val="26"/>
        </w:rPr>
        <w:t>посредством ответов на письменные обращения граждан.</w:t>
      </w:r>
    </w:p>
    <w:p>
      <w:pPr>
        <w:pStyle w:val="Normal"/>
        <w:rPr/>
      </w:pPr>
      <w:r>
        <w:rPr>
          <w:sz w:val="26"/>
          <w:szCs w:val="26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Управления.</w:t>
      </w:r>
    </w:p>
    <w:p>
      <w:pPr>
        <w:pStyle w:val="Normal"/>
        <w:rPr/>
      </w:pPr>
      <w:r>
        <w:rPr>
          <w:sz w:val="26"/>
          <w:szCs w:val="26"/>
        </w:rPr>
        <w:t>Специалист обязан сообщить график приема граждан, точный почтовый адрес Управления, способ проезда к нему, а при необходимости - требования к письменному обращению.</w:t>
      </w:r>
    </w:p>
    <w:p>
      <w:pPr>
        <w:pStyle w:val="Normal"/>
        <w:rPr/>
      </w:pPr>
      <w:r>
        <w:rPr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Управления.</w:t>
      </w:r>
    </w:p>
    <w:p>
      <w:pPr>
        <w:pStyle w:val="Normal"/>
        <w:rPr/>
      </w:pPr>
      <w:r>
        <w:rPr>
          <w:sz w:val="26"/>
          <w:szCs w:val="26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>
      <w:pPr>
        <w:pStyle w:val="Normal"/>
        <w:rPr/>
      </w:pPr>
      <w:r>
        <w:rPr>
          <w:sz w:val="26"/>
          <w:szCs w:val="26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>
      <w:pPr>
        <w:pStyle w:val="Normal"/>
        <w:rPr/>
      </w:pPr>
      <w:r>
        <w:rPr>
          <w:sz w:val="26"/>
          <w:szCs w:val="26"/>
        </w:rPr>
        <w:t>Разговор по телефону не должен продолжаться более 10 минут.</w:t>
      </w:r>
    </w:p>
    <w:p>
      <w:pPr>
        <w:pStyle w:val="Normal"/>
        <w:rPr/>
      </w:pPr>
      <w:r>
        <w:rPr>
          <w:sz w:val="26"/>
          <w:szCs w:val="26"/>
        </w:rPr>
        <w:t>3.3. При ответах на телефонные звонки и устные обращения по вопросам  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>
      <w:pPr>
        <w:pStyle w:val="Normal"/>
        <w:rPr/>
      </w:pPr>
      <w:r>
        <w:rPr>
          <w:sz w:val="26"/>
          <w:szCs w:val="26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>
      <w:pPr>
        <w:pStyle w:val="Normal"/>
        <w:rPr/>
      </w:pPr>
      <w:r>
        <w:rPr>
          <w:sz w:val="26"/>
          <w:szCs w:val="26"/>
        </w:rPr>
        <w:t>о перечне категорий граждан, имеющих право на получение муниципальной услуги;</w:t>
      </w:r>
    </w:p>
    <w:p>
      <w:pPr>
        <w:pStyle w:val="Normal"/>
        <w:rPr/>
      </w:pPr>
      <w:r>
        <w:rPr>
          <w:sz w:val="26"/>
          <w:szCs w:val="26"/>
        </w:rPr>
        <w:t>о перечне документов, необходимых для получения муниципальной услуги;</w:t>
      </w:r>
    </w:p>
    <w:p>
      <w:pPr>
        <w:pStyle w:val="Normal"/>
        <w:rPr/>
      </w:pPr>
      <w:r>
        <w:rPr>
          <w:sz w:val="26"/>
          <w:szCs w:val="26"/>
        </w:rPr>
        <w:t>о сроках предоставления муниципальной услуги;</w:t>
      </w:r>
    </w:p>
    <w:p>
      <w:pPr>
        <w:pStyle w:val="Normal"/>
        <w:rPr/>
      </w:pPr>
      <w:r>
        <w:rPr>
          <w:sz w:val="26"/>
          <w:szCs w:val="26"/>
        </w:rPr>
        <w:t>об основаниях отказа в предоставлении муниципальной услуги;</w:t>
      </w:r>
    </w:p>
    <w:p>
      <w:pPr>
        <w:pStyle w:val="Normal"/>
        <w:rPr/>
      </w:pPr>
      <w:r>
        <w:rPr>
          <w:sz w:val="26"/>
          <w:szCs w:val="26"/>
        </w:rPr>
        <w:t>о месте размещения на сайте администрации Арсеньевского городского округа</w:t>
      </w:r>
      <w:r>
        <w:rPr/>
        <w:t xml:space="preserve"> </w:t>
      </w:r>
      <w:hyperlink r:id="rId6">
        <w:r>
          <w:rPr>
            <w:rStyle w:val="Style13"/>
            <w:sz w:val="26"/>
            <w:szCs w:val="26"/>
          </w:rPr>
          <w:t>http://ars.town/</w:t>
        </w:r>
      </w:hyperlink>
      <w:r>
        <w:rPr>
          <w:sz w:val="26"/>
          <w:szCs w:val="26"/>
        </w:rPr>
        <w:t xml:space="preserve"> информации по вопросам предоставления муниципальной услуги.</w:t>
      </w:r>
      <w:r>
        <w:rPr/>
        <w:t>X</w:t>
      </w:r>
    </w:p>
    <w:p>
      <w:pPr>
        <w:pStyle w:val="Normal"/>
        <w:rPr/>
      </w:pPr>
      <w:r>
        <w:rPr>
          <w:sz w:val="26"/>
          <w:szCs w:val="26"/>
        </w:rPr>
        <w:t>3.4. На сайте администрации Арсеньевского городского округа http://ars.town/,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>
      <w:pPr>
        <w:pStyle w:val="Normal"/>
        <w:rPr/>
      </w:pPr>
      <w:r>
        <w:rPr>
          <w:sz w:val="26"/>
          <w:szCs w:val="26"/>
        </w:rPr>
        <w:t>о месте нахождения и графике работы Управления и его структурных подразделений, ответственных за предоставление муниципальной услуги, а также МФЦ;</w:t>
      </w:r>
    </w:p>
    <w:p>
      <w:pPr>
        <w:pStyle w:val="Normal"/>
        <w:rPr/>
      </w:pPr>
      <w:r>
        <w:rPr>
          <w:sz w:val="26"/>
          <w:szCs w:val="26"/>
        </w:rPr>
        <w:t>справочные телефоны структурных подразделений Управления;</w:t>
      </w:r>
    </w:p>
    <w:p>
      <w:pPr>
        <w:pStyle w:val="Normal"/>
        <w:rPr/>
      </w:pPr>
      <w:r>
        <w:rPr>
          <w:sz w:val="26"/>
          <w:szCs w:val="26"/>
        </w:rPr>
        <w:t>адрес официального сайта администрации Арсеньевского городского округа, а также электронной почты и (или) формы обратной связи Управления, в сети Интернет.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Стандарт предоставления муниципальной услуги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4. Наименование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Перевод земель или земельных участков в составе таких земель из одной категории в другую.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 Наименование органа, предоставляющего муниципальную услугу</w:t>
      </w:r>
    </w:p>
    <w:p>
      <w:pPr>
        <w:pStyle w:val="Normal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Предоставление муниципальной услуги осуществляется Управлением в лице отдела земельных отношений Управления.</w:t>
      </w:r>
    </w:p>
    <w:p>
      <w:pPr>
        <w:pStyle w:val="ListParagraph"/>
        <w:spacing w:lineRule="auto" w:line="360" w:before="0" w:after="0"/>
        <w:ind w:left="709" w:hanging="0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 Описание результатов предоставления муниципальной услуги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Результатом предоставления муниципальной услуги является: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 о переводе земель или земельных участков в составе таких земель из одной категории в другую;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 об отказе в предоставлении муниципальной услуги.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7.Срок предоставления муниципальной услуги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>
        <w:rPr>
          <w:bCs/>
          <w:sz w:val="26"/>
          <w:szCs w:val="26"/>
        </w:rPr>
        <w:t>Управление</w:t>
      </w:r>
      <w:r>
        <w:rPr>
          <w:sz w:val="26"/>
          <w:szCs w:val="26"/>
        </w:rPr>
        <w:t xml:space="preserve"> принимает акт о переводе земель или земельных участков в составе таких земель из одной категории в другую в срок, не превышающий 2-х месяцев с даты поступления ходатайства в </w:t>
      </w:r>
      <w:r>
        <w:rPr>
          <w:bCs/>
          <w:sz w:val="26"/>
          <w:szCs w:val="26"/>
        </w:rPr>
        <w:t>уполномоченный орган</w:t>
      </w:r>
      <w:r>
        <w:rPr>
          <w:sz w:val="26"/>
          <w:szCs w:val="26"/>
        </w:rPr>
        <w:t>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7.2. Акт о переводе либо акт об отказе в переводе земель или земельных участков в составе таких земель из одной категории в другую выдается (направляется) заявителю (представителю заявителя) течение 3-х рабочих дней со дня принятия указанного акта.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</w:t>
      </w:r>
      <w:r>
        <w:rPr>
          <w:bCs/>
          <w:sz w:val="26"/>
          <w:szCs w:val="26"/>
        </w:rPr>
        <w:t xml:space="preserve"> Управление</w:t>
      </w:r>
      <w:r>
        <w:rPr>
          <w:sz w:val="26"/>
          <w:szCs w:val="26"/>
        </w:rPr>
        <w:t xml:space="preserve"> принимает акт об отказе в переводе земель или земельных участков в составе таких земель из одной категории в другую в срок не превышающий 2-х месяцев с даты поступления ходатайства в</w:t>
      </w:r>
      <w:r>
        <w:rPr>
          <w:bCs/>
          <w:sz w:val="26"/>
          <w:szCs w:val="26"/>
        </w:rPr>
        <w:t xml:space="preserve"> Управление.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8. Правовые основания для предоставления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Градостроительный кодекс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Гражданский кодекс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Земельный кодекс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Кодекс об административных правонарушениях Российской Федерации;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21.07.1997 № 122-ФЗ «О государственной регистрации прав на недвижимое имущество и сделок с ним»;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24.07.2007 № 221-ФЗ «О кадастровой деятельности»;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услуг»;</w:t>
      </w:r>
    </w:p>
    <w:p>
      <w:pPr>
        <w:pStyle w:val="1"/>
        <w:shd w:val="clear" w:color="auto" w:fill="FFFFFF"/>
        <w:spacing w:lineRule="atLeast" w:line="242" w:beforeAutospacing="0" w:before="0" w:afterAutospacing="0" w:after="144"/>
        <w:ind w:firstLine="709"/>
        <w:jc w:val="both"/>
        <w:rPr>
          <w:sz w:val="26"/>
          <w:szCs w:val="26"/>
        </w:rPr>
      </w:pPr>
      <w:r>
        <w:rPr>
          <w:b w:val="false"/>
          <w:sz w:val="26"/>
          <w:szCs w:val="26"/>
        </w:rPr>
        <w:t>- Федеральный закон от 21.12.2004 № 172-ФЗ «О переводе земель или земельных участков из одной категории в другую»</w:t>
      </w:r>
      <w:r>
        <w:rPr>
          <w:sz w:val="26"/>
          <w:szCs w:val="26"/>
        </w:rPr>
        <w:t>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Закон Приморского края от 29.12.2003 № 90-КЗ «О регулировании земельных отношений в Приморском крае»;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Устав Арсеньевского городского округа;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Думы Арсеньевского городского округа от 28.11.2012 № 20  «Об утверждении генерального плана Арсеньевского городского округа»;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Муниципальный правовой акт Арсеньевского городского округа от 15.03.2013 № 30-МПА «Правила землепользования и застройки </w:t>
      </w:r>
      <w:r>
        <w:rPr>
          <w:rFonts w:ascii="Times New Roman" w:hAnsi="Times New Roman"/>
          <w:bCs/>
          <w:sz w:val="26"/>
          <w:szCs w:val="26"/>
        </w:rPr>
        <w:t>Арсеньевского городского округа»;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иными нормативными правовыми актами.</w:t>
      </w:r>
    </w:p>
    <w:p>
      <w:pPr>
        <w:pStyle w:val="Normal"/>
        <w:tabs>
          <w:tab w:val="clear" w:pos="708"/>
          <w:tab w:val="left" w:pos="1134" w:leader="none"/>
        </w:tabs>
        <w:spacing w:lineRule="auto" w:line="360" w:before="0" w:after="0"/>
        <w:ind w:left="1069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>
        <w:rPr>
          <w:rFonts w:ascii="Times New Roman" w:hAnsi="Times New Roman"/>
          <w:sz w:val="26"/>
          <w:szCs w:val="26"/>
          <w:lang w:eastAsia="ru-RU"/>
        </w:rPr>
        <w:t>ходатайство, согласно приложению №1 к настоящему административному регламенту;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копию документа, удостоверяющего личность заявителя (представителя заявителя);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 документ, подтверждающий полномочия представителя заявителя (в случае обращения представителя заявителя);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4)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>
        <w:rPr>
          <w:rFonts w:ascii="Times New Roman" w:hAnsi="Times New Roman"/>
          <w:sz w:val="26"/>
          <w:szCs w:val="26"/>
        </w:rPr>
        <w:t xml:space="preserve">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Согласие должно содержать следующие сведения о правообладателе земельного участка: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описание местоположения земельного участка;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кадастровый  номер  земельного участка.</w:t>
      </w:r>
    </w:p>
    <w:p>
      <w:pPr>
        <w:pStyle w:val="ConsPlusNormal1"/>
        <w:numPr>
          <w:ilvl w:val="0"/>
          <w:numId w:val="10"/>
        </w:numPr>
        <w:tabs>
          <w:tab w:val="clear" w:pos="708"/>
          <w:tab w:val="left" w:pos="993" w:leader="none"/>
        </w:tabs>
        <w:spacing w:lineRule="auto" w:line="36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документы, удостоверяющие (устанавливающие)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недвижимости;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>
      <w:pPr>
        <w:pStyle w:val="ConsPlusNormal1"/>
        <w:tabs>
          <w:tab w:val="clear" w:pos="708"/>
          <w:tab w:val="left" w:pos="993" w:leader="none"/>
        </w:tabs>
        <w:spacing w:lineRule="auto" w:line="360"/>
        <w:ind w:firstLine="709"/>
        <w:jc w:val="both"/>
        <w:rPr>
          <w:sz w:val="26"/>
          <w:szCs w:val="26"/>
        </w:rPr>
      </w:pPr>
      <w:bookmarkStart w:id="1" w:name="P154"/>
      <w:bookmarkEnd w:id="1"/>
      <w:r>
        <w:rPr>
          <w:sz w:val="26"/>
          <w:szCs w:val="26"/>
        </w:rPr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>
      <w:pPr>
        <w:pStyle w:val="ConsPlusNormal1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6"/>
          <w:szCs w:val="26"/>
        </w:rPr>
      </w:pPr>
      <w:bookmarkStart w:id="2" w:name="P155"/>
      <w:bookmarkEnd w:id="2"/>
      <w:r>
        <w:rPr>
          <w:sz w:val="26"/>
          <w:szCs w:val="26"/>
        </w:rPr>
        <w:t>2) 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осуществить;</w:t>
      </w:r>
    </w:p>
    <w:p>
      <w:pPr>
        <w:pStyle w:val="ConsPlusNormal1"/>
        <w:tabs>
          <w:tab w:val="clear" w:pos="708"/>
          <w:tab w:val="left" w:pos="1134" w:leader="none"/>
        </w:tabs>
        <w:spacing w:lineRule="auto" w:line="360"/>
        <w:ind w:firstLine="709"/>
        <w:jc w:val="both"/>
        <w:rPr>
          <w:sz w:val="26"/>
          <w:szCs w:val="26"/>
        </w:rPr>
      </w:pPr>
      <w:bookmarkStart w:id="3" w:name="P156"/>
      <w:bookmarkEnd w:id="3"/>
      <w:r>
        <w:rPr>
          <w:sz w:val="26"/>
          <w:szCs w:val="26"/>
        </w:rPr>
        <w:t>3) заключение государственной экологической экспертизы в случае, если ее проведение предусмотрено федеральными законами.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bookmarkStart w:id="4" w:name="P164"/>
      <w:bookmarkStart w:id="5" w:name="P163"/>
      <w:bookmarkStart w:id="6" w:name="P162"/>
      <w:bookmarkStart w:id="7" w:name="P160"/>
      <w:bookmarkStart w:id="8" w:name="P157"/>
      <w:bookmarkEnd w:id="4"/>
      <w:bookmarkEnd w:id="5"/>
      <w:bookmarkEnd w:id="6"/>
      <w:bookmarkEnd w:id="7"/>
      <w:bookmarkEnd w:id="8"/>
      <w:r>
        <w:rPr>
          <w:sz w:val="26"/>
          <w:szCs w:val="26"/>
        </w:rPr>
        <w:t>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>
      <w:pPr>
        <w:pStyle w:val="ListParagraph"/>
        <w:numPr>
          <w:ilvl w:val="0"/>
          <w:numId w:val="9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Управление, работник МФЦ отказывает заявителю в принятии заявления, в случае если с заявлением обратилось ненадлежащее лицо.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Исчерпывающий перечень оснований для приостановления муниципальной услуги или отказа в предоставлении муниципальной услуги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 Основаниями для отказа в предоставлении муниципальной услуги являются:</w:t>
      </w:r>
    </w:p>
    <w:p>
      <w:pPr>
        <w:pStyle w:val="ListParagraph"/>
        <w:numPr>
          <w:ilvl w:val="0"/>
          <w:numId w:val="11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заявлению приложены документы, состав, форма или содержание которых не соответствуют требованиям земельного законодательства и указанным в пункте 9.1 настоящего административного регламента;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11.2. Основания для приостановления предоставления муниципальной услуги не предусмотрены.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11.3. заявление, не подлежащее рассмотрению по основаниям, предусмотренным п. 11.1 настоящего административного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13.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bookmarkStart w:id="9" w:name="Par193"/>
      <w:bookmarkEnd w:id="9"/>
      <w:r>
        <w:rPr>
          <w:rFonts w:ascii="Times New Roman" w:hAnsi="Times New Roman"/>
          <w:b/>
          <w:sz w:val="26"/>
          <w:szCs w:val="26"/>
        </w:rPr>
        <w:t xml:space="preserve">14. Срок регистрации ходатайства о предоставлении муниципальной услуги </w:t>
      </w:r>
    </w:p>
    <w:p>
      <w:pPr>
        <w:pStyle w:val="Normal"/>
        <w:shd w:val="clear" w:color="auto" w:fill="FFFFFF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14.1. Ходатайство о предоставлении муниципальной услуги, поданное заявителем при личном обращении в Управление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>
      <w:pPr>
        <w:pStyle w:val="Normal"/>
        <w:shd w:val="clear" w:color="auto" w:fill="FFFFFF"/>
        <w:spacing w:lineRule="auto" w:line="36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14.2. При оказании услуги в электронном виде заявление о предоставлении муниципальной услуги, поданное заявителем, регистрируется не позднее первого рабочего дня после поступления ходатайства в Управление.</w:t>
      </w:r>
    </w:p>
    <w:p>
      <w:pPr>
        <w:pStyle w:val="ConsPlusNormal1"/>
        <w:spacing w:lineRule="auto" w:line="36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15. 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15.1.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 для подачи ходатайства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режим работы Управления;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адрес электронной почты Управления;</w:t>
      </w:r>
    </w:p>
    <w:p>
      <w:pPr>
        <w:pStyle w:val="Normal"/>
        <w:tabs>
          <w:tab w:val="clear" w:pos="708"/>
          <w:tab w:val="left" w:pos="851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телефонные номера специалистов, осуществляющих консультации по предоставлению муниципальной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Помещение для непосредственного взаимодействия специалистов Управления с заявителями организовано в виде отдельного кабинета, в котором ведут прием два специалиста.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информационных стендах размещаются: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перечень документов, необходимых для получения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образцы оформления заявления о предоставлении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основания для отказа в предоставлении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сроки предоставления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порядок получения консультаций;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порядок обжалования решений и действий (бездействия) Управления, должностных лиц Управления либо муниципальных служащих.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  <w:highlight w:val="white"/>
        </w:rPr>
      </w:pPr>
      <w:r>
        <w:rPr>
          <w:rFonts w:ascii="Times New Roman" w:hAnsi="Times New Roman"/>
          <w:sz w:val="26"/>
          <w:szCs w:val="26"/>
          <w:shd w:fill="FFFFFF" w:val="clear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16. Показатели доступности и качества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Управлением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доступность: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>
      <w:pPr>
        <w:pStyle w:val="ListParagraph"/>
        <w:numPr>
          <w:ilvl w:val="0"/>
          <w:numId w:val="2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качество: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>
      <w:pPr>
        <w:pStyle w:val="Default"/>
        <w:spacing w:lineRule="auto" w:line="36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>
      <w:pPr>
        <w:pStyle w:val="Normal"/>
        <w:spacing w:lineRule="auto" w:line="240" w:before="0" w:after="0"/>
        <w:ind w:firstLine="993"/>
        <w:jc w:val="both"/>
        <w:rPr>
          <w:rFonts w:ascii="Times New Roman" w:hAnsi="Times New Roman"/>
          <w:b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 Исчерпывающий перечень административных процедур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процедура приема и регистрации ходатайства о переводе земель или земельных участков в составе таких земель из одной категории в другую;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процедура рассмотрения ходатайства о переводе земель или земельных участков в составе таких земель из одной категории в другую;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процедура направления межведомственных запросов;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процедура принятия и направления акта о переводе земель или земельных участков в составе таких земель из одной категории в другую;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процедура принятия и направления заявителю акта об отказе в переводе земель или земельных участков в составе таких земель из одной категории в другую.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17.1. Процедура приема и регистрации ходатайства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обращение заявителя либо его представителя с ходатайством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>
        <w:r>
          <w:rPr>
            <w:rStyle w:val="ListLabel57"/>
            <w:rFonts w:ascii="Times New Roman" w:hAnsi="Times New Roman"/>
            <w:sz w:val="26"/>
            <w:szCs w:val="26"/>
          </w:rPr>
          <w:t>пункте 9.1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Лицом, уполномоченным на выполнение административной процедуры, является специалист Управления.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Управления: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регистрирует заявления о предоставлении муниципальной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P209"/>
      <w:bookmarkEnd w:id="10"/>
      <w:r>
        <w:rPr>
          <w:rFonts w:ascii="Times New Roman" w:hAnsi="Times New Roman"/>
          <w:sz w:val="26"/>
          <w:szCs w:val="26"/>
        </w:rPr>
        <w:t>Регистрация ходатайства о предоставлении муниципальной услуги осуществляется как на бумажном носителе, так и в электронном виде посредством электронного журнала учета.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Регистрация ходатайства о предоставлении муниципальной услуги производится в день поступления обращения заявителя.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P212"/>
      <w:bookmarkEnd w:id="11"/>
      <w:r>
        <w:rPr>
          <w:rFonts w:ascii="Times New Roman" w:hAnsi="Times New Roman"/>
          <w:sz w:val="26"/>
          <w:szCs w:val="26"/>
        </w:rPr>
        <w:t>Специалист Управления не позднее следующего рабочего дня после дня регистрации ходатайства передает пакет документов специалисту отдела земельных отношений Управления для дальнейшего его рассмотрения.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17.2. Процедура рассмотрения ходатайства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 предоставлении муниципальной услуги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получение специалистом отдела земельных отношений Управления пакета документов, необходимого для предоставления муниципальной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Специалист, ответственный за предоставление муниципальной услуги,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>
      <w:pPr>
        <w:pStyle w:val="Normal"/>
        <w:spacing w:lineRule="auto" w:line="360" w:before="0" w:after="1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17.2.1. В случае если ходатайство о переводе земель или земельных участков в составе таких земель из одной категории в другую подано в иной орган или к заявлению не приложены документы, предусмотренные </w:t>
      </w:r>
      <w:hyperlink w:anchor="P62">
        <w:r>
          <w:rPr>
            <w:rStyle w:val="ListLabel57"/>
            <w:rFonts w:ascii="Times New Roman" w:hAnsi="Times New Roman"/>
            <w:sz w:val="26"/>
            <w:szCs w:val="26"/>
          </w:rPr>
          <w:t>пунктом 9.1.</w:t>
        </w:r>
      </w:hyperlink>
      <w:r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течение десяти дней со дня поступления заявления, Управления возвращает ходатайство о переводе земельных участков заявителю. При этом должны быть указаны все причины возврата.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17.2.2. В случае соответствия предоставленных документов, приложенных к ходатайству о предоставлении муниципальной услуги, требованиям действующего законодательства Российской Федерации, специалист переходит к процедуре направления межведомственных запросов.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17.3. Процедура направления межведомственных запросов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необходимости, специалист Управления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административного регламента.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позднее следующего дня с даты поступления ответов на запросы специалист Управления 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17.4. Процедура принятия и направления акта о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Управления, ответственный за предоставление муниципальной услуги рассматривает документы на предмет отсутствия (наличия) оснований для отказа в предоставлении муниципальной услуги.</w:t>
      </w:r>
    </w:p>
    <w:p>
      <w:pPr>
        <w:pStyle w:val="Normal"/>
        <w:spacing w:lineRule="auto" w:line="360" w:before="0" w:after="0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результатам проведенной работы Управлением принимается решение о предоставлении муниципальной услуги либо об отказе в предоставлении муниципальной услуги.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>
        <w:rPr>
          <w:rFonts w:ascii="Times New Roman" w:hAnsi="Times New Roman"/>
          <w:spacing w:val="-16"/>
          <w:sz w:val="26"/>
          <w:szCs w:val="26"/>
        </w:rPr>
        <w:t xml:space="preserve">В случае принятия акта о предоставлении муниципальной услуги Управление издает </w:t>
      </w:r>
      <w:r>
        <w:rPr>
          <w:rFonts w:ascii="Times New Roman" w:hAnsi="Times New Roman"/>
          <w:spacing w:val="-16"/>
          <w:sz w:val="26"/>
          <w:szCs w:val="26"/>
          <w:lang w:eastAsia="ru-RU"/>
        </w:rPr>
        <w:t>акт о переводе земель или земельных участков из одной категории в другую и направляет его заявителю в течение 3 рабочих дней.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pacing w:val="-16"/>
          <w:sz w:val="26"/>
          <w:szCs w:val="26"/>
          <w:lang w:eastAsia="ru-RU"/>
        </w:rPr>
      </w:pPr>
      <w:r>
        <w:rPr>
          <w:rFonts w:ascii="Times New Roman" w:hAnsi="Times New Roman"/>
          <w:spacing w:val="-16"/>
          <w:sz w:val="26"/>
          <w:szCs w:val="26"/>
        </w:rPr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17.5. Процедура принятия и направления акта об отказе в переводе земель или земельных участков в составе таких земель из одной категории в другую</w:t>
      </w:r>
    </w:p>
    <w:p>
      <w:pPr>
        <w:pStyle w:val="Normal"/>
        <w:spacing w:lineRule="auto" w:line="360" w:before="0" w:after="1"/>
        <w:ind w:firstLine="709"/>
        <w:jc w:val="both"/>
        <w:rPr>
          <w:rFonts w:ascii="Times New Roman" w:hAnsi="Times New Roman"/>
          <w:spacing w:val="-16"/>
          <w:sz w:val="26"/>
          <w:szCs w:val="26"/>
        </w:rPr>
      </w:pPr>
      <w:r>
        <w:rPr>
          <w:rFonts w:ascii="Times New Roman" w:hAnsi="Times New Roman"/>
          <w:spacing w:val="-16"/>
          <w:sz w:val="26"/>
          <w:szCs w:val="26"/>
        </w:rPr>
        <w:t>При наличии оснований, предусмотренных п. 11.1. настоящего административного регламента, Управление принимает акт об отказе в предоставлении муниципальной услуги и в течении трех рабочих дней направляет его заявителю.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19. Особенности предоставления муниципальной услуги в МФЦ</w:t>
      </w:r>
    </w:p>
    <w:p>
      <w:pPr>
        <w:pStyle w:val="ListParagraph"/>
        <w:widowControl w:val="false"/>
        <w:numPr>
          <w:ilvl w:val="1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В соответствии с заключенным соглашением о взаимодействии между уполномоченным МФЦ (далее – УМФЦ) и администрацией Арсеньевского городского округа, об организации предоставления муниципальной услуги, МФЦ осуществляет следующие административные процедуры: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>
      <w:pPr>
        <w:pStyle w:val="ListParagraph"/>
        <w:widowControl w:val="false"/>
        <w:numPr>
          <w:ilvl w:val="0"/>
          <w:numId w:val="4"/>
        </w:numPr>
        <w:spacing w:lineRule="auto" w:line="360" w:before="0" w:after="0"/>
        <w:ind w:left="0" w:firstLine="709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0" w:firstLine="709"/>
        <w:jc w:val="both"/>
        <w:rPr>
          <w:rFonts w:ascii="Times New Roman" w:hAnsi="Times New Roman"/>
          <w:spacing w:val="-14"/>
          <w:sz w:val="26"/>
          <w:szCs w:val="26"/>
        </w:rPr>
      </w:pPr>
      <w:r>
        <w:rPr>
          <w:rFonts w:ascii="Times New Roman" w:hAnsi="Times New Roman"/>
          <w:spacing w:val="-14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>
      <w:pPr>
        <w:pStyle w:val="ListParagraph"/>
        <w:numPr>
          <w:ilvl w:val="1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предоставления муниципальной услуги;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режим работы и адреса иных МФЦ и привлекаемых организаций, находящихся на территории Приморского края;</w:t>
      </w:r>
    </w:p>
    <w:p>
      <w:pPr>
        <w:pStyle w:val="ListParagraph"/>
        <w:numPr>
          <w:ilvl w:val="0"/>
          <w:numId w:val="6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>
      <w:pPr>
        <w:pStyle w:val="ListParagraph"/>
        <w:numPr>
          <w:ilvl w:val="1"/>
          <w:numId w:val="5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19.3.5. Принятые у заявителя документы, заявление и расписка передаются в электронном виде в Управление по защищенным каналам связи.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проверку действительности электронной подписи должностного лица Управления, подписавшего электронный документ, полученный МФЦ по результатам предоставления муниципальной услуги;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>
      <w:pPr>
        <w:pStyle w:val="ListParagraph"/>
        <w:numPr>
          <w:ilvl w:val="0"/>
          <w:numId w:val="7"/>
        </w:numPr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учет выдачи экземпляров электронных документов на бумажном носителе.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19.5. В соответствии с заключенным соглашением о взаимодействии между МФЦ и администрацией Арсеньевского городского округа, и если иное не предусмотрено федеральным законом, на МФЦ может быть возложена функция по обработке информации из информационных систем Управления, и составление и заверение выписок полученных из информационных систем, том числе с использованием информационно-</w:t>
      </w:r>
      <w:r>
        <w:rPr>
          <w:rFonts w:ascii="Times New Roman" w:hAnsi="Times New Roman"/>
          <w:spacing w:val="-14"/>
          <w:sz w:val="26"/>
          <w:szCs w:val="26"/>
        </w:rPr>
        <w:t>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</w:t>
      </w:r>
      <w:r>
        <w:rPr>
          <w:rFonts w:ascii="Times New Roman" w:hAnsi="Times New Roman"/>
          <w:sz w:val="26"/>
          <w:szCs w:val="26"/>
        </w:rPr>
        <w:t xml:space="preserve">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20.1. Контроль соблюдения последовательности действий специалистами Управления,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начальником отдела земельных отношений Управления.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20.3. Контроль соблюдения последовательности действий, определенных административными процедурами, и принятия решений специалистами Управления осуществляется начальником отдела земельных отношений Управления.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20.4. Контроль осуществляется путем проведения проверок соблюдения и исполнения специалистами Управления положений административного регламента, иных нормативных актов.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20.5. Контроль осуществляется начальником отдела земельных отношений Управления не реже одного раза в месяц.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b/>
          <w:sz w:val="26"/>
          <w:szCs w:val="26"/>
          <w:lang w:eastAsia="ru-RU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21.1. Решения и действия (бездействие) Управления, должностных лиц Управления, предоставляющего муниципальную услугу, муниципальных служащих, МФЦ, работников МФЦ,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Арсеньевского городского округа.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21.2.1 нарушения срока регистрации заявления о предоставлении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21.2.2 нарушения срока предоставления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Асеньевского городского округа для предоставления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Асеньевского городского округа для предоставления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Асеньевского городского округа;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Асеньевского городского округа;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21.2.7 отказа Управления, предоставляющего</w:t>
      </w:r>
      <w:bookmarkStart w:id="12" w:name="_GoBack"/>
      <w:bookmarkEnd w:id="12"/>
      <w:r>
        <w:rPr>
          <w:rFonts w:ascii="Times New Roman" w:hAnsi="Times New Roman"/>
          <w:sz w:val="26"/>
          <w:szCs w:val="26"/>
        </w:rPr>
        <w:t xml:space="preserve"> муниципальную услугу, должностного лица органа, предоставляющего муниципальную услугу,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21.2.8 нарушения срока или порядка выдачи документов по результатам предоставления муниципальной услуги;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Арсеньевского городского округа;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7">
        <w:r>
          <w:rPr>
            <w:rStyle w:val="ListLabel57"/>
            <w:rFonts w:ascii="Times New Roman" w:hAnsi="Times New Roman"/>
            <w:sz w:val="26"/>
            <w:szCs w:val="26"/>
          </w:rPr>
          <w:t>законом</w:t>
        </w:r>
      </w:hyperlink>
      <w:r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подпунктами 21.2.1, 21.2.3, 21.2.4, 21.2.6, 21.2.8 настоящего пункта.</w:t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6"/>
          <w:szCs w:val="26"/>
        </w:rPr>
        <w:t xml:space="preserve">21.3. Жалоба может быть направлена заявителем через МФЦ, а также в электронной форме через Единый портал, официальный сайт администрации Арсеньевского городского округа http://ars.town/, по электронной почте на адрес </w:t>
      </w:r>
      <w:hyperlink r:id="rId8">
        <w:r>
          <w:rPr>
            <w:rStyle w:val="Style13"/>
            <w:sz w:val="26"/>
            <w:szCs w:val="26"/>
          </w:rPr>
          <w:t>adm@ars.town</w:t>
        </w:r>
      </w:hyperlink>
      <w:r>
        <w:rPr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либо направлена почтой.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21.4. Жалоба может быть принята при личном приеме заявителя. Личный прием заявителей проводится Главой Арсеньевского городского округа, по адресу: 692342, г. Арсеньев, ул. Ленинская, д. 8, согласно графику, утвержденному Главой Арсеньевского городского округа и размещенному на официальном сайте администрации Арсеньевского городского округа http://ars.town/.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 Жалоба должна содержать: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 решения и действия (бездействие) которого обжалуются;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21.6. Жалоба подлежит регистрации в течение трех дней со дня поступления в Управление, администрацию Арсеньевского городского округа, многофункциональный центр.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21.7. Жалоба, поступившая в Управление, администрацию Арсеньевского городского округа, многофункциональный центр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21.8. По результатам рассмотрения жалобы уполномоченное должностное лицо принимает одно из следующих решений: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Арсеньевского городского округа;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отказывает в удовлетворении жалобы.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>
      <w:pPr>
        <w:pStyle w:val="Normal"/>
        <w:spacing w:lineRule="auto" w:line="360"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04"/>
        <w:gridCol w:w="3365"/>
      </w:tblGrid>
      <w:tr>
        <w:trPr/>
        <w:tc>
          <w:tcPr>
            <w:tcW w:w="6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  <w:tc>
          <w:tcPr>
            <w:tcW w:w="33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Начальнику управления </w:t>
            </w:r>
          </w:p>
        </w:tc>
      </w:tr>
      <w:tr>
        <w:trPr/>
        <w:tc>
          <w:tcPr>
            <w:tcW w:w="6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  <w:tc>
          <w:tcPr>
            <w:tcW w:w="33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имущественных отношений </w:t>
            </w:r>
          </w:p>
        </w:tc>
      </w:tr>
      <w:tr>
        <w:trPr/>
        <w:tc>
          <w:tcPr>
            <w:tcW w:w="6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  <w:tc>
          <w:tcPr>
            <w:tcW w:w="33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Cs w:val="24"/>
                <w:lang w:eastAsia="ru-RU"/>
              </w:rPr>
              <w:t>администрации Арсеньевского</w:t>
            </w:r>
          </w:p>
        </w:tc>
      </w:tr>
      <w:tr>
        <w:trPr/>
        <w:tc>
          <w:tcPr>
            <w:tcW w:w="6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</w:t>
            </w:r>
          </w:p>
        </w:tc>
        <w:tc>
          <w:tcPr>
            <w:tcW w:w="33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Cs w:val="24"/>
                <w:lang w:eastAsia="ru-RU"/>
              </w:rPr>
              <w:t>городского округа</w:t>
            </w:r>
          </w:p>
        </w:tc>
      </w:tr>
      <w:tr>
        <w:trPr/>
        <w:tc>
          <w:tcPr>
            <w:tcW w:w="620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  <w:tc>
          <w:tcPr>
            <w:tcW w:w="33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hAnsi="Times New Roman"/>
                <w:szCs w:val="24"/>
                <w:lang w:eastAsia="ru-RU"/>
              </w:rPr>
              <w:t>Г.В. Сергеевой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ХОДАТАЙСТВО 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>переводе земель или земельных участков в составе таких земель из одной категории в другую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957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1498"/>
        <w:gridCol w:w="5500"/>
        <w:gridCol w:w="2092"/>
      </w:tblGrid>
      <w:tr>
        <w:trPr/>
        <w:tc>
          <w:tcPr>
            <w:tcW w:w="48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8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09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eastAsia="Times New Roman" w:ascii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>
        <w:trPr/>
        <w:tc>
          <w:tcPr>
            <w:tcW w:w="1978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9570" w:type="dxa"/>
            <w:gridSpan w:val="4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>
        <w:trPr/>
        <w:tc>
          <w:tcPr>
            <w:tcW w:w="9570" w:type="dxa"/>
            <w:gridSpan w:val="4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</w:tr>
      <w:tr>
        <w:trPr/>
        <w:tc>
          <w:tcPr>
            <w:tcW w:w="9570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Прошу перевести земельный(ые) участок(ки):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описание местоположения переводимых земель ___________________________________________________;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площадь переводимых земель __________________________________________________________________;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кадастровые  номера  земельных участков, в случае их наличия на переводимых землях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_______________________________;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_______________________________;</w:t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 состава земель ____________________________________ в категорию 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>
              <w:rPr>
                <w:rFonts w:cs="Times New Roman" w:ascii="Times New Roman" w:hAnsi="Times New Roman"/>
              </w:rPr>
              <w:t>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Земельные участки, в случае их наличия на переводимых землях принадлежат на праве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 ___________________________________________________________________________________________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вид правомочия)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сведения о правообладателе (правообладателях)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 ___________________________________________________________________________________________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</w:rPr>
              <w:t xml:space="preserve">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вид правомочия)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сведения о правообладателе (правообладателях)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sPlusNonformat"/>
              <w:spacing w:lineRule="auto" w:line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 основании _________________________________________________________________________________.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Перевод   земель   __________________________________  в  другую  категорию необходим по следующим 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основаниям: 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(указать обоснование, включающее цель перевода земель в другую категорию и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_____________________________________________________________________________________________</w:t>
            </w:r>
          </w:p>
          <w:p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                       </w:t>
            </w:r>
            <w:r>
              <w:rPr>
                <w:rFonts w:cs="Times New Roman" w:ascii="Times New Roman" w:hAnsi="Times New Roman"/>
                <w:sz w:val="16"/>
                <w:szCs w:val="16"/>
              </w:rPr>
              <w:t>обоснование необходимости использования земель в составе испрашиваемой категории земель)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eastAsia="Times New Roman" w:ascii="Times New Roman" w:hAnsi="Times New Roman"/>
          <w:sz w:val="20"/>
          <w:szCs w:val="20"/>
          <w:lang w:eastAsia="ru-RU"/>
        </w:rPr>
      </w:r>
    </w:p>
    <w:tbl>
      <w:tblPr>
        <w:tblW w:w="974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64"/>
        <w:gridCol w:w="6582"/>
      </w:tblGrid>
      <w:tr>
        <w:trPr/>
        <w:tc>
          <w:tcPr>
            <w:tcW w:w="9746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</w:r>
          </w:p>
        </w:tc>
      </w:tr>
      <w:tr>
        <w:trPr/>
        <w:tc>
          <w:tcPr>
            <w:tcW w:w="3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16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Приложение:</w:t>
      </w:r>
      <w:r>
        <w:rPr>
          <w:rStyle w:val="FootnoteCharacters"/>
          <w:rStyle w:val="Style15"/>
          <w:rFonts w:ascii="Times New Roman" w:hAnsi="Times New Roman"/>
          <w:sz w:val="20"/>
          <w:szCs w:val="20"/>
          <w:lang w:eastAsia="ru-RU"/>
        </w:rPr>
        <w:footnoteReference w:id="2"/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559"/>
        <w:gridCol w:w="3522"/>
        <w:gridCol w:w="2134"/>
      </w:tblGrid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5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5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5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3950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35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34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58" w:hRule="atLeast"/>
        </w:trPr>
        <w:tc>
          <w:tcPr>
            <w:tcW w:w="3950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213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1194435</wp:posOffset>
                </wp:positionH>
                <wp:positionV relativeFrom="paragraph">
                  <wp:posOffset>24765</wp:posOffset>
                </wp:positionV>
                <wp:extent cx="3277235" cy="762635"/>
                <wp:effectExtent l="0" t="0" r="19050" b="19050"/>
                <wp:wrapNone/>
                <wp:docPr id="2" name="Прямоугольник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процедура приема и регистрации ходатайства о переводе земель или земельных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2" fillcolor="white" stroked="t" style="position:absolute;margin-left:94.05pt;margin-top:1.95pt;width:257.95pt;height:59.9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процедура приема и регистрации ходатайства о переводе земель или земельных</w:t>
                      </w:r>
                      <w:r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2727960</wp:posOffset>
                </wp:positionH>
                <wp:positionV relativeFrom="paragraph">
                  <wp:posOffset>41910</wp:posOffset>
                </wp:positionV>
                <wp:extent cx="1270" cy="286385"/>
                <wp:effectExtent l="60960" t="13335" r="53340" b="15240"/>
                <wp:wrapNone/>
                <wp:docPr id="4" name="Прямая со стрелко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858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1" stroked="t" style="position:absolute;margin-left:214.8pt;margin-top:3.3pt;width:0pt;height:22.4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1299210</wp:posOffset>
                </wp:positionH>
                <wp:positionV relativeFrom="paragraph">
                  <wp:posOffset>50165</wp:posOffset>
                </wp:positionV>
                <wp:extent cx="3172460" cy="752475"/>
                <wp:effectExtent l="0" t="0" r="28575" b="10160"/>
                <wp:wrapNone/>
                <wp:docPr id="5" name="Прямоугольник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960" cy="75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0" fillcolor="white" stroked="t" style="position:absolute;margin-left:102.3pt;margin-top:3.95pt;width:249.7pt;height:59.15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процедура рассмотрения ходатайства о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1823085</wp:posOffset>
                </wp:positionH>
                <wp:positionV relativeFrom="paragraph">
                  <wp:posOffset>647700</wp:posOffset>
                </wp:positionV>
                <wp:extent cx="2048510" cy="676910"/>
                <wp:effectExtent l="13335" t="9525" r="5715" b="9525"/>
                <wp:wrapNone/>
                <wp:docPr id="7" name="Прямоугольник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040" cy="6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3" fillcolor="white" stroked="t" style="position:absolute;margin-left:143.55pt;margin-top:51pt;width:161.2pt;height:53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2727960</wp:posOffset>
                </wp:positionH>
                <wp:positionV relativeFrom="paragraph">
                  <wp:posOffset>390525</wp:posOffset>
                </wp:positionV>
                <wp:extent cx="1270" cy="257810"/>
                <wp:effectExtent l="60960" t="9525" r="53340" b="19050"/>
                <wp:wrapNone/>
                <wp:docPr id="9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570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4" stroked="t" style="position:absolute;margin-left:214.8pt;margin-top:30.75pt;width:0pt;height:20.2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1270" cy="1270"/>
                <wp:effectExtent l="13335" t="57150" r="15240" b="57150"/>
                <wp:wrapNone/>
                <wp:docPr id="10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5" stroked="t" style="position:absolute;margin-left:214.8pt;margin-top:104.25pt;width:0pt;height:0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2727960</wp:posOffset>
                </wp:positionH>
                <wp:positionV relativeFrom="paragraph">
                  <wp:posOffset>1323975</wp:posOffset>
                </wp:positionV>
                <wp:extent cx="1270" cy="210185"/>
                <wp:effectExtent l="60960" t="9525" r="53340" b="19050"/>
                <wp:wrapNone/>
                <wp:docPr id="11" name="Прямая со стрелкой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6" stroked="t" style="position:absolute;margin-left:214.8pt;margin-top:104.25pt;width:0pt;height:16.4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column">
                  <wp:posOffset>2785110</wp:posOffset>
                </wp:positionH>
                <wp:positionV relativeFrom="paragraph">
                  <wp:posOffset>2228850</wp:posOffset>
                </wp:positionV>
                <wp:extent cx="1270" cy="210185"/>
                <wp:effectExtent l="60960" t="9525" r="53340" b="19050"/>
                <wp:wrapNone/>
                <wp:docPr id="12" name="Прямая со стрелко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Прямая со стрелкой 7" stroked="t" style="position:absolute;margin-left:219.3pt;margin-top:175.5pt;width:0pt;height:16.45pt" type="shapetype_32">
                <w10:wrap type="none"/>
                <v:fill o:detectmouseclick="t" on="false"/>
                <v:stroke color="black" weight="9360" endarrow="block" endarrowwidth="medium" endarrowlength="medium" joinstyle="round" endcap="flat"/>
              </v:shape>
            </w:pict>
          </mc:Fallback>
        </mc:AlternateContent>
      </w:r>
    </w:p>
    <w:p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1137285</wp:posOffset>
                </wp:positionH>
                <wp:positionV relativeFrom="paragraph">
                  <wp:posOffset>187325</wp:posOffset>
                </wp:positionV>
                <wp:extent cx="3467735" cy="695960"/>
                <wp:effectExtent l="0" t="0" r="19050" b="28575"/>
                <wp:wrapNone/>
                <wp:docPr id="13" name="Прямоугольник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60" cy="69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200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другую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8" fillcolor="white" stroked="t" style="position:absolute;margin-left:89.55pt;margin-top:14.75pt;width:272.95pt;height:54.7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spacing w:before="0" w:after="200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процедура принятия и направления акта о переводе земель или земельных участков в составе таких земель из одной категории в</w:t>
                      </w:r>
                      <w:r>
                        <w:rPr>
                          <w:rFonts w:ascii="Times New Roman" w:hAnsi="Times New Roman"/>
                          <w:color w:val="auto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auto"/>
                        </w:rPr>
                        <w:t>другую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1137285</wp:posOffset>
                </wp:positionH>
                <wp:positionV relativeFrom="paragraph">
                  <wp:posOffset>189865</wp:posOffset>
                </wp:positionV>
                <wp:extent cx="3467735" cy="715010"/>
                <wp:effectExtent l="0" t="0" r="19050" b="28575"/>
                <wp:wrapNone/>
                <wp:docPr id="15" name="Прямоугольник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6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spacing w:before="0" w:after="20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</w:rPr>
      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9" fillcolor="white" stroked="t" style="position:absolute;margin-left:89.55pt;margin-top:14.95pt;width:272.95pt;height:56.2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30"/>
                        <w:spacing w:before="0" w:after="200"/>
                        <w:rPr>
                          <w:color w:val="auto"/>
                        </w:rPr>
                      </w:pPr>
                      <w:r>
                        <w:rPr>
                          <w:rFonts w:ascii="Times New Roman" w:hAnsi="Times New Roman"/>
                          <w:color w:val="auto"/>
                        </w:rPr>
                        <w:t>процедура принятия и направления заявителю акта об отказе в переводе земель или земельных участков в составе таких земель из одной категории в другую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notePr>
        <w:numFmt w:val="decimal"/>
      </w:footnotePr>
      <w:type w:val="continuous"/>
      <w:pgSz w:w="11906" w:h="16838"/>
      <w:pgMar w:left="1134" w:right="850" w:header="708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ind w:hanging="0"/>
        <w:rPr>
          <w:sz w:val="18"/>
          <w:szCs w:val="18"/>
          <w:lang w:eastAsia="ru-RU"/>
        </w:rPr>
      </w:pPr>
      <w:r>
        <w:rPr>
          <w:rStyle w:val="Style19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  <w:p>
      <w:pPr>
        <w:pStyle w:val="Style27"/>
        <w:ind w:hanging="0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</w:r>
    </w:p>
    <w:p>
      <w:pPr>
        <w:pStyle w:val="Style27"/>
        <w:ind w:hanging="0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34210279"/>
    </w:sdtPr>
    <w:sdtContent>
      <w:p>
        <w:pPr>
          <w:pStyle w:val="Style28"/>
          <w:jc w:val="center"/>
          <w:rPr/>
        </w:pPr>
        <w:r>
          <w:rPr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9" w:hanging="360"/>
      </w:pPr>
      <w:rPr>
        <w:sz w:val="26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4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180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ind w:left="1429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1004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lvl w:ilvl="0">
      <w:start w:val="19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9" w:hanging="480"/>
      </w:pPr>
      <w:rPr>
        <w:sz w:val="26"/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)"/>
      <w:lvlJc w:val="left"/>
      <w:pPr>
        <w:ind w:left="1429" w:hanging="360"/>
      </w:pPr>
      <w:rPr>
        <w:sz w:val="2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684" w:hanging="975"/>
      </w:pPr>
    </w:lvl>
    <w:lvl w:ilvl="2">
      <w:start w:val="1"/>
      <w:numFmt w:val="decimal"/>
      <w:lvlText w:val="%1.%2.%3."/>
      <w:lvlJc w:val="left"/>
      <w:pPr>
        <w:ind w:left="2393" w:hanging="975"/>
      </w:pPr>
    </w:lvl>
    <w:lvl w:ilvl="3">
      <w:start w:val="1"/>
      <w:numFmt w:val="decimal"/>
      <w:lvlText w:val="%1.%2.%3.%4."/>
      <w:lvlJc w:val="left"/>
      <w:pPr>
        <w:ind w:left="3102" w:hanging="975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lvl w:ilvl="0">
      <w:start w:val="5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ef631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f6314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f6314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ConsPlusNormal" w:customStyle="1">
    <w:name w:val="ConsPlusNormal Знак"/>
    <w:link w:val="ConsPlusNormal"/>
    <w:qFormat/>
    <w:locked/>
    <w:rsid w:val="00ef6314"/>
    <w:rPr>
      <w:rFonts w:ascii="Times New Roman" w:hAnsi="Times New Roman" w:eastAsia="Calibri" w:cs="Times New Roman"/>
      <w:sz w:val="24"/>
      <w:szCs w:val="24"/>
      <w:lang w:eastAsia="ru-RU"/>
    </w:rPr>
  </w:style>
  <w:style w:type="character" w:styleId="Style13">
    <w:name w:val="Интернет-ссылка"/>
    <w:uiPriority w:val="99"/>
    <w:rsid w:val="00ef6314"/>
    <w:rPr>
      <w:rFonts w:cs="Times New Roman"/>
      <w:color w:val="0000FF"/>
      <w:u w:val="single"/>
    </w:rPr>
  </w:style>
  <w:style w:type="character" w:styleId="Style14" w:customStyle="1">
    <w:name w:val="Текст сноски Знак"/>
    <w:basedOn w:val="DefaultParagraphFont"/>
    <w:link w:val="a7"/>
    <w:uiPriority w:val="99"/>
    <w:semiHidden/>
    <w:qFormat/>
    <w:rsid w:val="00ef6314"/>
    <w:rPr>
      <w:rFonts w:ascii="Times New Roman" w:hAnsi="Times New Roman" w:eastAsia="Times New Roman" w:cs="Calibri"/>
      <w:color w:val="000000"/>
      <w:sz w:val="20"/>
      <w:szCs w:val="20"/>
    </w:rPr>
  </w:style>
  <w:style w:type="character" w:styleId="Style15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6314"/>
    <w:rPr>
      <w:rFonts w:cs="Times New Roman"/>
      <w:vertAlign w:val="superscript"/>
    </w:rPr>
  </w:style>
  <w:style w:type="character" w:styleId="Style16" w:customStyle="1">
    <w:name w:val="Верхний колонтитул Знак"/>
    <w:basedOn w:val="DefaultParagraphFont"/>
    <w:link w:val="aa"/>
    <w:uiPriority w:val="99"/>
    <w:qFormat/>
    <w:rsid w:val="00280839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link w:val="ac"/>
    <w:uiPriority w:val="99"/>
    <w:qFormat/>
    <w:rsid w:val="00280839"/>
    <w:rPr>
      <w:rFonts w:ascii="Calibri" w:hAnsi="Calibri" w:eastAsia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51850"/>
    <w:rPr>
      <w:color w:val="605E5C"/>
      <w:shd w:fill="E1DFDD" w:val="clear"/>
    </w:rPr>
  </w:style>
  <w:style w:type="character" w:styleId="Style18" w:customStyle="1">
    <w:name w:val="Текст выноски Знак"/>
    <w:basedOn w:val="DefaultParagraphFont"/>
    <w:link w:val="af"/>
    <w:uiPriority w:val="99"/>
    <w:semiHidden/>
    <w:qFormat/>
    <w:rsid w:val="00ee6e0a"/>
    <w:rPr>
      <w:rFonts w:ascii="Segoe UI" w:hAnsi="Segoe UI" w:eastAsia="Calibr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 w:cs="Times New Roman"/>
      <w:b/>
      <w:sz w:val="26"/>
      <w:szCs w:val="24"/>
    </w:rPr>
  </w:style>
  <w:style w:type="character" w:styleId="ListLabel2">
    <w:name w:val="ListLabel 2"/>
    <w:qFormat/>
    <w:rPr>
      <w:sz w:val="24"/>
      <w:szCs w:val="24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Times New Roman" w:hAnsi="Times New Roman" w:cs="Times New Roman"/>
      <w:sz w:val="26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6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ascii="Times New Roman" w:hAnsi="Times New Roman" w:cs="Times New Roman"/>
      <w:sz w:val="26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ascii="Times New Roman" w:hAnsi="Times New Roman" w:cs="Times New Roman"/>
      <w:sz w:val="26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ascii="Times New Roman" w:hAnsi="Times New Roman" w:cs="Times New Roman"/>
      <w:sz w:val="26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sz w:val="26"/>
      <w:szCs w:val="24"/>
    </w:rPr>
  </w:style>
  <w:style w:type="character" w:styleId="ListLabel56">
    <w:name w:val="ListLabel 56"/>
    <w:qFormat/>
    <w:rPr>
      <w:sz w:val="26"/>
      <w:szCs w:val="26"/>
    </w:rPr>
  </w:style>
  <w:style w:type="character" w:styleId="ListLabel57">
    <w:name w:val="ListLabel 57"/>
    <w:qFormat/>
    <w:rPr>
      <w:rFonts w:ascii="Times New Roman" w:hAnsi="Times New Roman"/>
      <w:sz w:val="26"/>
      <w:szCs w:val="26"/>
    </w:rPr>
  </w:style>
  <w:style w:type="character" w:styleId="Style19">
    <w:name w:val="Символ сноски"/>
    <w:qFormat/>
    <w:rPr/>
  </w:style>
  <w:style w:type="character" w:styleId="Style20">
    <w:name w:val="Привязка концевой сноски"/>
    <w:rPr>
      <w:vertAlign w:val="superscript"/>
    </w:rPr>
  </w:style>
  <w:style w:type="character" w:styleId="Style21">
    <w:name w:val="Символ концевой сноски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0"/>
    <w:qFormat/>
    <w:rsid w:val="00ef631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eastAsia="ru-RU" w:val="ru-RU" w:bidi="ar-SA"/>
    </w:rPr>
  </w:style>
  <w:style w:type="paragraph" w:styleId="ConsPlusNonformat" w:customStyle="1">
    <w:name w:val="ConsPlusNonformat"/>
    <w:qFormat/>
    <w:rsid w:val="00ef6314"/>
    <w:pPr>
      <w:widowControl/>
      <w:bidi w:val="0"/>
      <w:spacing w:lineRule="auto" w:line="240" w:before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f6314"/>
    <w:pPr>
      <w:spacing w:before="0" w:after="200"/>
      <w:ind w:left="720" w:hanging="0"/>
      <w:contextualSpacing/>
    </w:pPr>
    <w:rPr/>
  </w:style>
  <w:style w:type="paragraph" w:styleId="Default" w:customStyle="1">
    <w:name w:val="Default"/>
    <w:uiPriority w:val="99"/>
    <w:qFormat/>
    <w:rsid w:val="00ef631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7">
    <w:name w:val="Footnote Text"/>
    <w:basedOn w:val="Normal"/>
    <w:link w:val="a8"/>
    <w:uiPriority w:val="99"/>
    <w:semiHidden/>
    <w:unhideWhenUsed/>
    <w:rsid w:val="00ef6314"/>
    <w:pPr>
      <w:spacing w:lineRule="auto" w:line="240" w:before="0" w:after="0"/>
      <w:ind w:firstLine="709"/>
      <w:jc w:val="both"/>
    </w:pPr>
    <w:rPr>
      <w:rFonts w:ascii="Times New Roman" w:hAnsi="Times New Roman" w:eastAsia="Times New Roman" w:cs="Calibri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ef6314"/>
    <w:pPr/>
    <w:rPr>
      <w:rFonts w:ascii="Times New Roman" w:hAnsi="Times New Roman"/>
      <w:sz w:val="24"/>
      <w:szCs w:val="24"/>
    </w:rPr>
  </w:style>
  <w:style w:type="paragraph" w:styleId="Style28">
    <w:name w:val="Header"/>
    <w:basedOn w:val="Normal"/>
    <w:link w:val="ab"/>
    <w:uiPriority w:val="99"/>
    <w:unhideWhenUsed/>
    <w:rsid w:val="002808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d"/>
    <w:uiPriority w:val="99"/>
    <w:unhideWhenUsed/>
    <w:rsid w:val="0028083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0"/>
    <w:uiPriority w:val="99"/>
    <w:semiHidden/>
    <w:unhideWhenUsed/>
    <w:qFormat/>
    <w:rsid w:val="00ee6e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consultantplus://offline/ref=D9B86D41B014EC535A62565B84914529EB8DBEEF5CA5F5763E97E6FEADL5ICG" TargetMode="External"/><Relationship Id="rId5" Type="http://schemas.openxmlformats.org/officeDocument/2006/relationships/hyperlink" Target="consultantplus://offline/ref=D9B86D41B014EC535A62485692FD1B26EA87E6E550A2FE2366C8BDA3FA556B1753CDB8FE9F2A56F9B7DBABLBI1G" TargetMode="External"/><Relationship Id="rId6" Type="http://schemas.openxmlformats.org/officeDocument/2006/relationships/hyperlink" Target="http://ars.town/" TargetMode="External"/><Relationship Id="rId7" Type="http://schemas.openxmlformats.org/officeDocument/2006/relationships/hyperlink" Target="consultantplus://offline/ref=20C8EF292D245910C3B3E0730672E864F2C850425FB4D515ED6357AEBA4DBBDC1F0356EBD1BCD29F0A2021365FuEJ1B" TargetMode="External"/><Relationship Id="rId8" Type="http://schemas.openxmlformats.org/officeDocument/2006/relationships/hyperlink" Target="mailto:adm@arsenevmis.ru" TargetMode="External"/><Relationship Id="rId9" Type="http://schemas.openxmlformats.org/officeDocument/2006/relationships/footnotes" Target="footnotes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LibreOffice/6.1.3.2$Windows_X86_64 LibreOffice_project/86daf60bf00efa86ad547e59e09d6bb77c699acb</Application>
  <Pages>27</Pages>
  <Words>5445</Words>
  <Characters>42180</Characters>
  <CharactersWithSpaces>48120</CharactersWithSpaces>
  <Paragraphs>315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2019-10-01T23:34:00Z</dcterms:created>
  <dc:creator>Пестрякова Екатерина Александровна</dc:creator>
  <dc:description/>
  <dc:language>ru-RU</dc:language>
  <cp:lastModifiedBy/>
  <cp:lastPrinted>2019-10-09T03:50:00Z</cp:lastPrinted>
  <dcterms:modified xsi:type="dcterms:W3CDTF">2019-10-23T17:14:11Z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