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B2" w:rsidRDefault="004B74D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635" distB="1270" distL="635" distR="1270" simplePos="0" relativeHeight="3" behindDoc="0" locked="0" layoutInCell="0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-1201420</wp:posOffset>
                </wp:positionV>
                <wp:extent cx="299720" cy="210185"/>
                <wp:effectExtent l="635" t="635" r="1270" b="1270"/>
                <wp:wrapNone/>
                <wp:docPr id="1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80" cy="210240"/>
                        </a:xfrm>
                        <a:custGeom>
                          <a:avLst/>
                          <a:gdLst>
                            <a:gd name="textAreaLeft" fmla="*/ 0 w 169920"/>
                            <a:gd name="textAreaRight" fmla="*/ 171360 w 169920"/>
                            <a:gd name="textAreaTop" fmla="*/ 0 h 119160"/>
                            <a:gd name="textAreaBottom" fmla="*/ 120600 h 1191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B0BB2" w:rsidRDefault="004B74D5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3B0BB2" w:rsidRDefault="003B0BB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B0BB2" w:rsidRDefault="003B0BB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B0BB2" w:rsidRDefault="004B74D5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B0BB2" w:rsidRDefault="003B0BB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B0BB2" w:rsidRDefault="003B0BB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B0BB2" w:rsidRDefault="003B0BB2">
      <w:pPr>
        <w:sectPr w:rsidR="003B0BB2">
          <w:headerReference w:type="default" r:id="rId6"/>
          <w:pgSz w:w="11906" w:h="16838"/>
          <w:pgMar w:top="1146" w:right="851" w:bottom="1134" w:left="1418" w:header="397" w:footer="0" w:gutter="0"/>
          <w:cols w:space="720"/>
          <w:formProt w:val="0"/>
          <w:docGrid w:linePitch="10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2"/>
        <w:gridCol w:w="510"/>
        <w:gridCol w:w="1172"/>
      </w:tblGrid>
      <w:tr w:rsidR="003B0BB2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3B0BB2" w:rsidRDefault="004B74D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декабря 2023 г.</w:t>
            </w:r>
          </w:p>
        </w:tc>
        <w:tc>
          <w:tcPr>
            <w:tcW w:w="5101" w:type="dxa"/>
          </w:tcPr>
          <w:p w:rsidR="003B0BB2" w:rsidRPr="004B74D5" w:rsidRDefault="004B74D5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4B74D5"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:rsidR="003B0BB2" w:rsidRDefault="004B74D5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3B0BB2" w:rsidRDefault="004B74D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760-па</w:t>
            </w:r>
          </w:p>
        </w:tc>
      </w:tr>
    </w:tbl>
    <w:p w:rsidR="003B0BB2" w:rsidRDefault="003B0BB2">
      <w:pPr>
        <w:tabs>
          <w:tab w:val="left" w:pos="8041"/>
        </w:tabs>
        <w:ind w:firstLine="748"/>
      </w:pPr>
    </w:p>
    <w:p w:rsidR="003B0BB2" w:rsidRDefault="003B0BB2"/>
    <w:p w:rsidR="003B0BB2" w:rsidRDefault="003B0BB2">
      <w:pPr>
        <w:sectPr w:rsidR="003B0BB2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100"/>
        </w:sectPr>
      </w:pPr>
    </w:p>
    <w:p w:rsidR="003B0BB2" w:rsidRDefault="003B0BB2">
      <w:pPr>
        <w:tabs>
          <w:tab w:val="left" w:pos="8041"/>
        </w:tabs>
        <w:ind w:firstLine="748"/>
      </w:pPr>
    </w:p>
    <w:p w:rsidR="003B0BB2" w:rsidRDefault="003B0BB2">
      <w:pPr>
        <w:sectPr w:rsidR="003B0BB2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100"/>
        </w:sectPr>
      </w:pPr>
    </w:p>
    <w:p w:rsidR="003B0BB2" w:rsidRDefault="004B74D5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ежегодного плана проведения плановых проверок </w:t>
      </w:r>
    </w:p>
    <w:p w:rsidR="003B0BB2" w:rsidRDefault="004B74D5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3B0BB2" w:rsidRDefault="004B74D5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нормативных правовых актов, </w:t>
      </w:r>
    </w:p>
    <w:p w:rsidR="003B0BB2" w:rsidRDefault="004B74D5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содержащих нормы трудового права, в подведомственных организациях </w:t>
      </w:r>
      <w:r>
        <w:rPr>
          <w:b/>
          <w:szCs w:val="26"/>
        </w:rPr>
        <w:t>Арсеньевского городского округа на 2024 год</w:t>
      </w:r>
    </w:p>
    <w:p w:rsidR="003B0BB2" w:rsidRDefault="003B0BB2">
      <w:pPr>
        <w:tabs>
          <w:tab w:val="left" w:pos="6801"/>
        </w:tabs>
        <w:ind w:firstLine="0"/>
        <w:jc w:val="center"/>
        <w:rPr>
          <w:b/>
          <w:szCs w:val="26"/>
        </w:rPr>
      </w:pPr>
    </w:p>
    <w:p w:rsidR="003B0BB2" w:rsidRDefault="003B0BB2">
      <w:pPr>
        <w:tabs>
          <w:tab w:val="left" w:pos="6801"/>
        </w:tabs>
        <w:ind w:firstLine="0"/>
        <w:rPr>
          <w:b/>
          <w:szCs w:val="26"/>
        </w:rPr>
      </w:pPr>
    </w:p>
    <w:p w:rsidR="003B0BB2" w:rsidRDefault="004B74D5">
      <w:pPr>
        <w:spacing w:line="360" w:lineRule="auto"/>
        <w:rPr>
          <w:b/>
          <w:bCs/>
          <w:szCs w:val="26"/>
        </w:rPr>
      </w:pPr>
      <w:r>
        <w:rPr>
          <w:szCs w:val="26"/>
        </w:rPr>
        <w:t xml:space="preserve">В целях исполнения Закона Приморского края от 07 ноября 2014 года                              № 491-КЗ «О порядке и условиях осуществления ведомственного контроля                           за соблюдением </w:t>
      </w:r>
      <w:r>
        <w:rPr>
          <w:szCs w:val="26"/>
        </w:rPr>
        <w:t>трудового законодательства и иных нормативных правовых актов, содержащих нормы трудового права, на территории Приморского края»,                                в соответствии со статьей 353.1 Трудового кодекса Российской Федерации, руководствуясь Уставом А</w:t>
      </w:r>
      <w:r>
        <w:rPr>
          <w:szCs w:val="26"/>
        </w:rPr>
        <w:t>рсеньевского городского округа, администрация Арсеньевского городского округа</w:t>
      </w:r>
    </w:p>
    <w:p w:rsidR="004B74D5" w:rsidRDefault="004B74D5">
      <w:pPr>
        <w:tabs>
          <w:tab w:val="left" w:pos="6801"/>
        </w:tabs>
        <w:ind w:firstLine="0"/>
        <w:rPr>
          <w:szCs w:val="26"/>
        </w:rPr>
      </w:pPr>
    </w:p>
    <w:p w:rsidR="003B0BB2" w:rsidRDefault="004B74D5">
      <w:pPr>
        <w:tabs>
          <w:tab w:val="left" w:pos="6801"/>
        </w:tabs>
        <w:ind w:firstLine="0"/>
        <w:rPr>
          <w:szCs w:val="26"/>
        </w:rPr>
      </w:pPr>
      <w:r>
        <w:rPr>
          <w:szCs w:val="26"/>
        </w:rPr>
        <w:t>ПОСТАНОВЛЯЕТ</w:t>
      </w:r>
    </w:p>
    <w:p w:rsidR="003B0BB2" w:rsidRDefault="003B0BB2">
      <w:pPr>
        <w:tabs>
          <w:tab w:val="left" w:pos="6801"/>
        </w:tabs>
        <w:rPr>
          <w:sz w:val="18"/>
          <w:szCs w:val="18"/>
        </w:rPr>
      </w:pPr>
    </w:p>
    <w:p w:rsidR="003B0BB2" w:rsidRDefault="003B0BB2">
      <w:pPr>
        <w:tabs>
          <w:tab w:val="left" w:pos="6801"/>
        </w:tabs>
        <w:rPr>
          <w:sz w:val="18"/>
          <w:szCs w:val="18"/>
        </w:rPr>
      </w:pPr>
    </w:p>
    <w:p w:rsidR="003B0BB2" w:rsidRDefault="004B74D5">
      <w:pPr>
        <w:spacing w:line="360" w:lineRule="auto"/>
        <w:rPr>
          <w:szCs w:val="26"/>
        </w:rPr>
      </w:pPr>
      <w:r>
        <w:rPr>
          <w:color w:val="000000"/>
          <w:szCs w:val="26"/>
        </w:rPr>
        <w:t>1. 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</w:t>
      </w:r>
      <w:r>
        <w:rPr>
          <w:color w:val="000000"/>
          <w:szCs w:val="26"/>
        </w:rPr>
        <w:t>мативных правовых актов, содержащих нормы трудового права, в подведомственных организациях Арсеньевского городского округа на 2024 год.</w:t>
      </w:r>
    </w:p>
    <w:p w:rsidR="003B0BB2" w:rsidRDefault="004B74D5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2. Организационному управлению администрации городского округа (Абрамова) обеспечить размещение на официальном сайте адм</w:t>
      </w:r>
      <w:r>
        <w:rPr>
          <w:szCs w:val="26"/>
        </w:rPr>
        <w:t>инистрации Арсеньевского городского округа настоящего постановления.</w:t>
      </w:r>
    </w:p>
    <w:p w:rsidR="003B0BB2" w:rsidRDefault="004B74D5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3. Контроль за исполнением настоящего постановления оставляю за собой.</w:t>
      </w:r>
    </w:p>
    <w:p w:rsidR="003B0BB2" w:rsidRDefault="003B0BB2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</w:pPr>
    </w:p>
    <w:p w:rsidR="003B0BB2" w:rsidRDefault="004B74D5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</w:pPr>
      <w:r>
        <w:rPr>
          <w:bCs/>
          <w:color w:val="000000"/>
          <w:szCs w:val="26"/>
        </w:rPr>
        <w:t>Глава городского округа                                                                                  В. С. Пиве</w:t>
      </w:r>
      <w:r>
        <w:rPr>
          <w:bCs/>
          <w:color w:val="000000"/>
          <w:szCs w:val="26"/>
        </w:rPr>
        <w:t>нь</w:t>
      </w:r>
    </w:p>
    <w:p w:rsidR="003B0BB2" w:rsidRDefault="003B0BB2">
      <w:pPr>
        <w:sectPr w:rsidR="003B0BB2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100"/>
        </w:sectPr>
      </w:pPr>
    </w:p>
    <w:p w:rsidR="003B0BB2" w:rsidRDefault="004B74D5">
      <w:pPr>
        <w:ind w:left="8931" w:firstLine="1134"/>
        <w:jc w:val="center"/>
        <w:rPr>
          <w:szCs w:val="26"/>
        </w:rPr>
      </w:pPr>
      <w:r>
        <w:rPr>
          <w:szCs w:val="26"/>
        </w:rPr>
        <w:lastRenderedPageBreak/>
        <w:t>УТВЕРЖДЕН</w:t>
      </w:r>
    </w:p>
    <w:p w:rsidR="003B0BB2" w:rsidRDefault="004B74D5">
      <w:pPr>
        <w:ind w:left="9639" w:firstLine="0"/>
        <w:rPr>
          <w:szCs w:val="26"/>
        </w:rPr>
      </w:pPr>
      <w:r>
        <w:rPr>
          <w:szCs w:val="26"/>
        </w:rPr>
        <w:t>п</w:t>
      </w:r>
      <w:bookmarkStart w:id="0" w:name="_GoBack"/>
      <w:bookmarkEnd w:id="0"/>
      <w:r>
        <w:rPr>
          <w:szCs w:val="26"/>
        </w:rPr>
        <w:t>остановлением администрации</w:t>
      </w:r>
    </w:p>
    <w:p w:rsidR="003B0BB2" w:rsidRDefault="004B74D5">
      <w:pPr>
        <w:ind w:left="9639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3B0BB2" w:rsidRDefault="004B74D5">
      <w:pPr>
        <w:ind w:left="9639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 xml:space="preserve">6 декабря </w:t>
      </w:r>
      <w:r>
        <w:rPr>
          <w:szCs w:val="26"/>
        </w:rPr>
        <w:t xml:space="preserve">2023 года </w:t>
      </w:r>
      <w:r>
        <w:rPr>
          <w:szCs w:val="26"/>
          <w:u w:val="single"/>
        </w:rPr>
        <w:t xml:space="preserve">№ </w:t>
      </w:r>
      <w:r w:rsidRPr="004B74D5">
        <w:rPr>
          <w:szCs w:val="26"/>
          <w:u w:val="single"/>
        </w:rPr>
        <w:t>760-па</w:t>
      </w:r>
      <w:r w:rsidRPr="004B74D5">
        <w:rPr>
          <w:szCs w:val="26"/>
          <w:u w:val="single"/>
        </w:rPr>
        <w:t xml:space="preserve">  </w:t>
      </w:r>
      <w:r w:rsidRPr="004B74D5">
        <w:rPr>
          <w:szCs w:val="26"/>
          <w:u w:val="single"/>
        </w:rPr>
        <w:t xml:space="preserve">        </w:t>
      </w:r>
    </w:p>
    <w:p w:rsidR="003B0BB2" w:rsidRDefault="003B0BB2">
      <w:pPr>
        <w:rPr>
          <w:szCs w:val="26"/>
        </w:rPr>
      </w:pPr>
    </w:p>
    <w:p w:rsidR="003B0BB2" w:rsidRDefault="003B0BB2">
      <w:pPr>
        <w:rPr>
          <w:szCs w:val="26"/>
        </w:rPr>
      </w:pPr>
    </w:p>
    <w:p w:rsidR="003B0BB2" w:rsidRDefault="004B74D5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 xml:space="preserve"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3B0BB2" w:rsidRDefault="004B74D5">
      <w:pPr>
        <w:jc w:val="center"/>
        <w:rPr>
          <w:color w:val="000000"/>
          <w:szCs w:val="26"/>
        </w:rPr>
      </w:pPr>
      <w:r>
        <w:rPr>
          <w:color w:val="000000"/>
          <w:szCs w:val="26"/>
        </w:rPr>
        <w:t>в подведомственных организациях Арсень</w:t>
      </w:r>
      <w:r>
        <w:rPr>
          <w:color w:val="000000"/>
          <w:szCs w:val="26"/>
        </w:rPr>
        <w:t>евского городского о</w:t>
      </w:r>
      <w:r>
        <w:rPr>
          <w:color w:val="000000"/>
          <w:szCs w:val="26"/>
        </w:rPr>
        <w:t>круга на 2024 год</w:t>
      </w:r>
    </w:p>
    <w:p w:rsidR="003B0BB2" w:rsidRDefault="003B0BB2">
      <w:pPr>
        <w:jc w:val="center"/>
        <w:rPr>
          <w:color w:val="000000"/>
          <w:szCs w:val="26"/>
        </w:rPr>
      </w:pPr>
    </w:p>
    <w:p w:rsidR="004B74D5" w:rsidRDefault="004B74D5">
      <w:pPr>
        <w:jc w:val="center"/>
        <w:rPr>
          <w:color w:val="000000"/>
          <w:szCs w:val="26"/>
        </w:rPr>
      </w:pPr>
    </w:p>
    <w:tbl>
      <w:tblPr>
        <w:tblStyle w:val="af3"/>
        <w:tblW w:w="14122" w:type="dxa"/>
        <w:tblLayout w:type="fixed"/>
        <w:tblLook w:val="04A0" w:firstRow="1" w:lastRow="0" w:firstColumn="1" w:lastColumn="0" w:noHBand="0" w:noVBand="1"/>
      </w:tblPr>
      <w:tblGrid>
        <w:gridCol w:w="513"/>
        <w:gridCol w:w="3140"/>
        <w:gridCol w:w="2177"/>
        <w:gridCol w:w="2043"/>
        <w:gridCol w:w="1984"/>
        <w:gridCol w:w="1765"/>
        <w:gridCol w:w="1250"/>
        <w:gridCol w:w="1250"/>
      </w:tblGrid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</w:pPr>
            <w:r>
              <w:rPr>
                <w:sz w:val="20"/>
              </w:rPr>
              <w:t>№ п/п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43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Цель плановой проверки</w:t>
            </w:r>
          </w:p>
        </w:tc>
        <w:tc>
          <w:tcPr>
            <w:tcW w:w="1984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Основание проведения плановой проверки</w:t>
            </w:r>
          </w:p>
        </w:tc>
        <w:tc>
          <w:tcPr>
            <w:tcW w:w="1765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Форма проведен</w:t>
            </w:r>
            <w:r>
              <w:rPr>
                <w:sz w:val="20"/>
              </w:rPr>
              <w:t>ия плановой проверки (документарная, выездная)</w:t>
            </w:r>
          </w:p>
        </w:tc>
        <w:tc>
          <w:tcPr>
            <w:tcW w:w="1250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Дата начала проведения плановой проверки (месяц)</w:t>
            </w:r>
          </w:p>
        </w:tc>
        <w:tc>
          <w:tcPr>
            <w:tcW w:w="1250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Срок проведения плановой проверки (рабочих дней)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043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4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65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50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50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дошкольное образовательное бюджетное учреждение "Детский сад общеразвивающего вида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</w:pPr>
            <w:r>
              <w:rPr>
                <w:sz w:val="22"/>
                <w:szCs w:val="22"/>
              </w:rPr>
              <w:t>№ 9 "Ёлочка" Арсеньевского городского округа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692342, Приморский край, г. Арсеньев,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Садовая, д. 17а</w:t>
            </w:r>
          </w:p>
        </w:tc>
        <w:tc>
          <w:tcPr>
            <w:tcW w:w="2043" w:type="dxa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</w:tcPr>
          <w:p w:rsidR="003B0BB2" w:rsidRDefault="004B74D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</w:t>
            </w:r>
            <w:r>
              <w:rPr>
                <w:sz w:val="22"/>
                <w:szCs w:val="22"/>
              </w:rPr>
              <w:t>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«Специализированная служба Арсеньевского городского округа».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692337, Приморский край, г. Арсеньев, проспект Горького,  д. 16</w:t>
            </w:r>
          </w:p>
        </w:tc>
        <w:tc>
          <w:tcPr>
            <w:tcW w:w="2043" w:type="dxa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</w:tcPr>
          <w:p w:rsidR="003B0BB2" w:rsidRDefault="004B74D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дошкольное образовательное бюджетное учреждение "Центр развития ребенка - детский сад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</w:pPr>
            <w:r>
              <w:rPr>
                <w:sz w:val="22"/>
                <w:szCs w:val="22"/>
              </w:rPr>
              <w:t>№ 26 "Росинка" Арсеньевского городского округа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692330, Приморский край, г. Арсеньев,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Ломоносова,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78</w:t>
            </w:r>
          </w:p>
        </w:tc>
        <w:tc>
          <w:tcPr>
            <w:tcW w:w="2043" w:type="dxa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</w:t>
            </w:r>
            <w:r>
              <w:rPr>
                <w:sz w:val="22"/>
                <w:szCs w:val="22"/>
              </w:rPr>
              <w:t>ва</w:t>
            </w:r>
          </w:p>
        </w:tc>
        <w:tc>
          <w:tcPr>
            <w:tcW w:w="1984" w:type="dxa"/>
          </w:tcPr>
          <w:p w:rsidR="003B0BB2" w:rsidRDefault="004B74D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  <w:tcBorders>
              <w:top w:val="nil"/>
            </w:tcBorders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  <w:p w:rsidR="003B0BB2" w:rsidRDefault="003B0BB2">
            <w:pPr>
              <w:tabs>
                <w:tab w:val="left" w:pos="1122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3139" w:type="dxa"/>
            <w:tcBorders>
              <w:top w:val="nil"/>
            </w:tcBorders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дошкольное образовательное бюджетное учреждение "Центр развития ребенка - детский сад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</w:pPr>
            <w:r>
              <w:rPr>
                <w:sz w:val="22"/>
                <w:szCs w:val="22"/>
              </w:rPr>
              <w:t xml:space="preserve">№ 30 "Лесная сказка" </w:t>
            </w:r>
            <w:r>
              <w:rPr>
                <w:sz w:val="22"/>
                <w:szCs w:val="22"/>
              </w:rPr>
              <w:t>Арсеньевского городского округа</w:t>
            </w:r>
          </w:p>
        </w:tc>
        <w:tc>
          <w:tcPr>
            <w:tcW w:w="2177" w:type="dxa"/>
            <w:tcBorders>
              <w:top w:val="nil"/>
            </w:tcBorders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692338, Приморский край, г. Арсеньев,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Октябрьская,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63</w:t>
            </w:r>
          </w:p>
        </w:tc>
        <w:tc>
          <w:tcPr>
            <w:tcW w:w="2043" w:type="dxa"/>
            <w:tcBorders>
              <w:top w:val="nil"/>
            </w:tcBorders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  <w:tcBorders>
              <w:top w:val="nil"/>
            </w:tcBorders>
          </w:tcPr>
          <w:p w:rsidR="003B0BB2" w:rsidRDefault="004B74D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  <w:tcBorders>
              <w:top w:val="nil"/>
            </w:tcBorders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  <w:tcBorders>
              <w:top w:val="nil"/>
            </w:tcBorders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50" w:type="dxa"/>
            <w:tcBorders>
              <w:top w:val="nil"/>
            </w:tcBorders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дополнительного образования «Спортивная школа олимпийского резерва «Богатырь» Арсеньевского городского округа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692337, Приморский край, г. Арсеньев, </w:t>
            </w:r>
          </w:p>
          <w:p w:rsidR="003B0BB2" w:rsidRDefault="004B74D5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Ломоносова,  </w:t>
            </w:r>
          </w:p>
          <w:p w:rsidR="003B0BB2" w:rsidRDefault="004B74D5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42 А</w:t>
            </w:r>
          </w:p>
        </w:tc>
        <w:tc>
          <w:tcPr>
            <w:tcW w:w="2043" w:type="dxa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требований трудового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984" w:type="dxa"/>
          </w:tcPr>
          <w:p w:rsidR="003B0BB2" w:rsidRDefault="004B74D5">
            <w:pPr>
              <w:ind w:firstLine="0"/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</w:t>
            </w:r>
            <w:r>
              <w:t xml:space="preserve">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765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139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№ 4" Арсеньевского городского округа </w:t>
            </w:r>
          </w:p>
        </w:tc>
        <w:tc>
          <w:tcPr>
            <w:tcW w:w="2177" w:type="dxa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692331, Приморский край, г. Арсеньев, ул.25 лет Арсеньеву, д.17</w:t>
            </w:r>
          </w:p>
        </w:tc>
        <w:tc>
          <w:tcPr>
            <w:tcW w:w="2043" w:type="dxa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</w:tcPr>
          <w:p w:rsidR="003B0BB2" w:rsidRDefault="004B74D5">
            <w:pPr>
              <w:ind w:firstLine="0"/>
            </w:pPr>
            <w:r>
              <w:rPr>
                <w:sz w:val="22"/>
                <w:szCs w:val="22"/>
              </w:rPr>
              <w:t>Осуществление в</w:t>
            </w:r>
            <w:r>
              <w:rPr>
                <w:sz w:val="22"/>
                <w:szCs w:val="22"/>
              </w:rPr>
              <w:t>едомственного контроля за соблюдением</w:t>
            </w:r>
            <w:r>
              <w:t xml:space="preserve"> </w:t>
            </w:r>
            <w:r>
              <w:rPr>
                <w:sz w:val="22"/>
                <w:szCs w:val="22"/>
              </w:rPr>
              <w:t>трудового</w:t>
            </w:r>
            <w:r>
              <w:t xml:space="preserve"> </w:t>
            </w:r>
            <w:r>
              <w:rPr>
                <w:sz w:val="22"/>
                <w:szCs w:val="22"/>
              </w:rPr>
              <w:t>законодательства</w:t>
            </w:r>
          </w:p>
        </w:tc>
        <w:tc>
          <w:tcPr>
            <w:tcW w:w="1765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Выездная 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250" w:type="dxa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139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культуры Дворец культуры «Прогресс».</w:t>
            </w:r>
          </w:p>
        </w:tc>
        <w:tc>
          <w:tcPr>
            <w:tcW w:w="2177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692337, Приморский край, г. Арсеньев,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Калининская, 1</w:t>
            </w:r>
          </w:p>
        </w:tc>
        <w:tc>
          <w:tcPr>
            <w:tcW w:w="2043" w:type="dxa"/>
            <w:shd w:val="clear" w:color="auto" w:fill="auto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Соблюдение </w:t>
            </w:r>
            <w:r>
              <w:rPr>
                <w:sz w:val="22"/>
                <w:szCs w:val="22"/>
              </w:rPr>
              <w:t>требований трудового законодательства</w:t>
            </w:r>
          </w:p>
        </w:tc>
        <w:tc>
          <w:tcPr>
            <w:tcW w:w="1984" w:type="dxa"/>
            <w:shd w:val="clear" w:color="auto" w:fill="auto"/>
          </w:tcPr>
          <w:p w:rsidR="003B0BB2" w:rsidRDefault="004B74D5">
            <w:pPr>
              <w:pStyle w:val="aa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250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рабочих дней</w:t>
            </w:r>
          </w:p>
        </w:tc>
      </w:tr>
      <w:tr w:rsidR="003B0BB2">
        <w:tc>
          <w:tcPr>
            <w:tcW w:w="512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139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общеобразовательное бюджетное учреждение "Средняя общеобразовательная школа № 8" </w:t>
            </w:r>
            <w:r>
              <w:rPr>
                <w:sz w:val="22"/>
                <w:szCs w:val="22"/>
              </w:rPr>
              <w:t>Арсеньевского городского округа</w:t>
            </w:r>
          </w:p>
        </w:tc>
        <w:tc>
          <w:tcPr>
            <w:tcW w:w="2177" w:type="dxa"/>
            <w:shd w:val="clear" w:color="auto" w:fill="auto"/>
          </w:tcPr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692337, Приморский край, г. Арсеньев </w:t>
            </w:r>
          </w:p>
          <w:p w:rsidR="003B0BB2" w:rsidRDefault="004B74D5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Калининская, д.3а,</w:t>
            </w:r>
          </w:p>
        </w:tc>
        <w:tc>
          <w:tcPr>
            <w:tcW w:w="2043" w:type="dxa"/>
            <w:shd w:val="clear" w:color="auto" w:fill="auto"/>
          </w:tcPr>
          <w:p w:rsidR="003B0BB2" w:rsidRDefault="004B74D5">
            <w:pPr>
              <w:ind w:hanging="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1984" w:type="dxa"/>
            <w:shd w:val="clear" w:color="auto" w:fill="auto"/>
          </w:tcPr>
          <w:p w:rsidR="003B0BB2" w:rsidRDefault="004B74D5">
            <w:pPr>
              <w:pStyle w:val="p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765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Выездная</w:t>
            </w:r>
          </w:p>
        </w:tc>
        <w:tc>
          <w:tcPr>
            <w:tcW w:w="1250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250" w:type="dxa"/>
            <w:shd w:val="clear" w:color="auto" w:fill="auto"/>
          </w:tcPr>
          <w:p w:rsidR="003B0BB2" w:rsidRDefault="003B0BB2">
            <w:pPr>
              <w:tabs>
                <w:tab w:val="left" w:pos="1122"/>
              </w:tabs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  <w:p w:rsidR="003B0BB2" w:rsidRDefault="004B74D5">
            <w:pPr>
              <w:tabs>
                <w:tab w:val="left" w:pos="1122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рабочих </w:t>
            </w:r>
            <w:r>
              <w:rPr>
                <w:sz w:val="22"/>
                <w:szCs w:val="22"/>
              </w:rPr>
              <w:t>дней</w:t>
            </w:r>
          </w:p>
        </w:tc>
      </w:tr>
    </w:tbl>
    <w:p w:rsidR="003B0BB2" w:rsidRDefault="003B0BB2">
      <w:pPr>
        <w:ind w:firstLine="0"/>
        <w:rPr>
          <w:bCs/>
          <w:color w:val="000000"/>
          <w:sz w:val="22"/>
          <w:szCs w:val="22"/>
        </w:rPr>
      </w:pPr>
    </w:p>
    <w:sectPr w:rsidR="003B0BB2" w:rsidSect="004B74D5">
      <w:headerReference w:type="default" r:id="rId7"/>
      <w:pgSz w:w="15840" w:h="12240" w:orient="landscape"/>
      <w:pgMar w:top="1418" w:right="1134" w:bottom="850" w:left="1134" w:header="72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B74D5">
      <w:r>
        <w:separator/>
      </w:r>
    </w:p>
  </w:endnote>
  <w:endnote w:type="continuationSeparator" w:id="0">
    <w:p w:rsidR="00000000" w:rsidRDefault="004B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B74D5">
      <w:r>
        <w:separator/>
      </w:r>
    </w:p>
  </w:footnote>
  <w:footnote w:type="continuationSeparator" w:id="0">
    <w:p w:rsidR="00000000" w:rsidRDefault="004B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2" w:rsidRDefault="004B74D5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2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BB2" w:rsidRDefault="003B0BB2">
    <w:pPr>
      <w:pStyle w:val="a7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B2"/>
    <w:rsid w:val="003B0BB2"/>
    <w:rsid w:val="004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677AA"/>
  <w15:docId w15:val="{D61360BD-663C-4318-92C5-BD5161B1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qFormat/>
    <w:rsid w:val="00FC2905"/>
    <w:rPr>
      <w:rFonts w:ascii="Courier New" w:hAnsi="Courier New" w:cs="Courier New"/>
      <w:lang w:val="ru-RU" w:eastAsia="ru-RU" w:bidi="ar-SA"/>
    </w:rPr>
  </w:style>
  <w:style w:type="character" w:styleId="a3">
    <w:name w:val="Hyperlink"/>
    <w:rsid w:val="00121CBA"/>
    <w:rPr>
      <w:color w:val="0563C1"/>
      <w:u w:val="single"/>
    </w:rPr>
  </w:style>
  <w:style w:type="character" w:customStyle="1" w:styleId="a4">
    <w:name w:val="Текст выноски Знак"/>
    <w:link w:val="a5"/>
    <w:qFormat/>
    <w:rsid w:val="00262F50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7"/>
    <w:uiPriority w:val="99"/>
    <w:qFormat/>
    <w:rsid w:val="004805F6"/>
    <w:rPr>
      <w:sz w:val="26"/>
    </w:rPr>
  </w:style>
  <w:style w:type="character" w:styleId="a8">
    <w:name w:val="Strong"/>
    <w:basedOn w:val="a0"/>
    <w:uiPriority w:val="22"/>
    <w:qFormat/>
    <w:rsid w:val="003933B3"/>
    <w:rPr>
      <w:rFonts w:cs="Times New Roman"/>
      <w:b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e">
    <w:name w:val="Колонтитул"/>
    <w:basedOn w:val="a"/>
    <w:qFormat/>
  </w:style>
  <w:style w:type="paragraph" w:styleId="a7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qFormat/>
    <w:rsid w:val="00FC2905"/>
    <w:pPr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0">
    <w:name w:val="HTML Preformatted"/>
    <w:basedOn w:val="a"/>
    <w:link w:val="HTML"/>
    <w:qFormat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</w:rPr>
  </w:style>
  <w:style w:type="paragraph" w:customStyle="1" w:styleId="af0">
    <w:name w:val="Знак"/>
    <w:basedOn w:val="a"/>
    <w:qFormat/>
    <w:rsid w:val="00B23F92"/>
    <w:pPr>
      <w:widowControl/>
      <w:spacing w:beforeAutospacing="1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5">
    <w:name w:val="Balloon Text"/>
    <w:basedOn w:val="a"/>
    <w:link w:val="a4"/>
    <w:qFormat/>
    <w:rsid w:val="00262F50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qFormat/>
    <w:rsid w:val="00E318F0"/>
    <w:pPr>
      <w:widowControl/>
      <w:spacing w:beforeAutospacing="1" w:afterAutospacing="1"/>
      <w:ind w:firstLine="0"/>
      <w:jc w:val="left"/>
    </w:pPr>
    <w:rPr>
      <w:rFonts w:eastAsiaTheme="minorEastAsia"/>
      <w:sz w:val="24"/>
      <w:szCs w:val="24"/>
    </w:rPr>
  </w:style>
  <w:style w:type="paragraph" w:customStyle="1" w:styleId="ConsPlusNonformat">
    <w:name w:val="ConsPlusNonformat"/>
    <w:qFormat/>
    <w:rsid w:val="00DD192D"/>
    <w:pPr>
      <w:widowControl w:val="0"/>
    </w:pPr>
    <w:rPr>
      <w:rFonts w:ascii="Courier New" w:hAnsi="Courier New" w:cs="Courier New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39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790</Words>
  <Characters>4507</Characters>
  <Application>Microsoft Office Word</Application>
  <DocSecurity>0</DocSecurity>
  <Lines>37</Lines>
  <Paragraphs>10</Paragraphs>
  <ScaleCrop>false</ScaleCrop>
  <Company>oem</Company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dc:description/>
  <cp:lastModifiedBy>Герасимова Зоя Николаевна</cp:lastModifiedBy>
  <cp:revision>33</cp:revision>
  <cp:lastPrinted>2023-11-30T15:58:00Z</cp:lastPrinted>
  <dcterms:created xsi:type="dcterms:W3CDTF">2017-12-14T06:33:00Z</dcterms:created>
  <dcterms:modified xsi:type="dcterms:W3CDTF">2023-12-07T00:26:00Z</dcterms:modified>
  <dc:language>ru-RU</dc:language>
</cp:coreProperties>
</file>