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_rels/document.xml.rels" ContentType="application/vnd.openxmlformats-package.relationships+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i/>
          <w:i/>
          <w:sz w:val="32"/>
          <w:szCs w:val="32"/>
          <w:u w:val="single"/>
        </w:rPr>
      </w:pPr>
      <w:r>
        <w:rPr>
          <w:b/>
          <w:bCs/>
          <w:i/>
          <w:sz w:val="32"/>
          <w:szCs w:val="32"/>
          <w:u w:val="single"/>
        </w:rPr>
        <w:t>Предостережение</w:t>
      </w:r>
    </w:p>
    <w:p>
      <w:pPr>
        <w:pStyle w:val="Normal"/>
        <w:jc w:val="center"/>
        <w:rPr>
          <w:i/>
          <w:i/>
          <w:sz w:val="20"/>
          <w:szCs w:val="20"/>
        </w:rPr>
      </w:pPr>
      <w:r>
        <w:rPr>
          <w:i/>
          <w:sz w:val="20"/>
          <w:szCs w:val="20"/>
        </w:rPr>
      </w:r>
    </w:p>
    <w:p>
      <w:pPr>
        <w:pStyle w:val="Normal"/>
        <w:jc w:val="both"/>
        <w:rPr/>
      </w:pPr>
      <w:bookmarkStart w:id="0" w:name="_GoBack"/>
      <w:bookmarkEnd w:id="0"/>
      <w:r>
        <w:rPr/>
        <w:t>О не</w:t>
      </w:r>
      <w:r>
        <w:rPr/>
        <w:t>допустимости нарушений</w:t>
      </w:r>
    </w:p>
    <w:p>
      <w:pPr>
        <w:pStyle w:val="Normal"/>
        <w:jc w:val="both"/>
        <w:rPr/>
      </w:pPr>
      <w:r>
        <w:rPr/>
        <w:t xml:space="preserve">требований охраны труда при </w:t>
      </w:r>
    </w:p>
    <w:p>
      <w:pPr>
        <w:pStyle w:val="Normal"/>
        <w:jc w:val="both"/>
        <w:rPr/>
      </w:pPr>
      <w:r>
        <w:rPr/>
        <w:t xml:space="preserve">работе в охранных зонах </w:t>
      </w:r>
    </w:p>
    <w:p>
      <w:pPr>
        <w:pStyle w:val="Normal"/>
        <w:jc w:val="both"/>
        <w:rPr/>
      </w:pPr>
      <w:r>
        <w:rPr/>
        <w:t>электроустановок</w:t>
      </w:r>
    </w:p>
    <w:p>
      <w:pPr>
        <w:pStyle w:val="Normal"/>
        <w:jc w:val="both"/>
        <w:rPr>
          <w:i/>
          <w:i/>
          <w:sz w:val="28"/>
          <w:szCs w:val="28"/>
        </w:rPr>
      </w:pPr>
      <w:r>
        <w:rPr>
          <w:i/>
          <w:sz w:val="28"/>
          <w:szCs w:val="28"/>
        </w:rPr>
      </w:r>
    </w:p>
    <w:p>
      <w:pPr>
        <w:pStyle w:val="Normal"/>
        <w:jc w:val="both"/>
        <w:rPr>
          <w:i/>
          <w:i/>
          <w:sz w:val="28"/>
          <w:szCs w:val="28"/>
        </w:rPr>
      </w:pPr>
      <w:r>
        <w:rPr>
          <w:i/>
          <w:sz w:val="28"/>
          <w:szCs w:val="28"/>
        </w:rPr>
      </w:r>
    </w:p>
    <w:p>
      <w:pPr>
        <w:pStyle w:val="Normal"/>
        <w:spacing w:lineRule="auto" w:line="276"/>
        <w:ind w:firstLine="709"/>
        <w:jc w:val="both"/>
        <w:rPr>
          <w:sz w:val="28"/>
          <w:szCs w:val="28"/>
        </w:rPr>
      </w:pPr>
      <w:r>
        <w:rPr>
          <w:sz w:val="28"/>
          <w:szCs w:val="28"/>
        </w:rPr>
        <w:t>13 июня 2024 года на воздушной линии электропередачи высокого класса напряжения 6000 В (далее, ВЛ-6 кВ), находящейся в эксплуатации АО «Арсеньевэлектросервис», произошел несчастный случай с двумя работниками сторонней организации.</w:t>
      </w:r>
    </w:p>
    <w:p>
      <w:pPr>
        <w:pStyle w:val="Normal"/>
        <w:spacing w:lineRule="auto" w:line="276"/>
        <w:ind w:firstLine="709"/>
        <w:jc w:val="both"/>
        <w:rPr>
          <w:sz w:val="28"/>
          <w:szCs w:val="28"/>
        </w:rPr>
      </w:pPr>
      <w:r>
        <w:rPr>
          <w:sz w:val="28"/>
          <w:szCs w:val="28"/>
        </w:rPr>
        <w:t>Причинами происшествия послужили грубейшие нарушения работниками сторонней организации норм и правил при работе в электроустановках и при работе на высоте. Последствия этих нарушений привели к смерти одного из пострадавших и причинению тяжелого вреда здоровья второго пострадавшего.</w:t>
      </w:r>
    </w:p>
    <w:p>
      <w:pPr>
        <w:pStyle w:val="Normal"/>
        <w:spacing w:lineRule="auto" w:line="276"/>
        <w:ind w:firstLine="709"/>
        <w:jc w:val="both"/>
        <w:rPr>
          <w:sz w:val="28"/>
          <w:szCs w:val="28"/>
        </w:rPr>
      </w:pPr>
      <w:r>
        <w:rPr>
          <w:sz w:val="28"/>
          <w:szCs w:val="28"/>
        </w:rPr>
        <w:t xml:space="preserve">Для предупреждения и предотвращения возникновения аварийных ситуаций связанных с работами сторонних организаций в охранных зонах электроустановок, настоятельно рекомендуем </w:t>
      </w:r>
      <w:r>
        <w:rPr>
          <w:b/>
          <w:bCs/>
          <w:sz w:val="28"/>
          <w:szCs w:val="28"/>
          <w:u w:val="single"/>
        </w:rPr>
        <w:t>всем</w:t>
      </w:r>
      <w:r>
        <w:rPr>
          <w:sz w:val="28"/>
          <w:szCs w:val="28"/>
        </w:rPr>
        <w:t xml:space="preserve"> собственникам и арендаторам, осуществляющих обслуживание и эксплуатацию стационарных и нестационарных объектов, расположенных в охранных зонах электроустановок, </w:t>
      </w:r>
      <w:r>
        <w:rPr>
          <w:b/>
          <w:bCs/>
          <w:sz w:val="28"/>
          <w:szCs w:val="28"/>
          <w:u w:val="single"/>
        </w:rPr>
        <w:t>в обязательном порядке</w:t>
      </w:r>
      <w:r>
        <w:rPr>
          <w:sz w:val="28"/>
          <w:szCs w:val="28"/>
          <w:u w:val="single"/>
        </w:rPr>
        <w:t xml:space="preserve"> </w:t>
      </w:r>
      <w:r>
        <w:rPr>
          <w:b/>
          <w:bCs/>
          <w:sz w:val="28"/>
          <w:szCs w:val="28"/>
          <w:u w:val="single"/>
        </w:rPr>
        <w:t>соблюдать требования</w:t>
      </w:r>
      <w:r>
        <w:rPr>
          <w:sz w:val="28"/>
          <w:szCs w:val="28"/>
        </w:rPr>
        <w:t xml:space="preserve"> </w:t>
      </w:r>
      <w:r>
        <w:rPr>
          <w:b/>
          <w:bCs/>
          <w:i w:val="false"/>
          <w:iCs w:val="false"/>
          <w:sz w:val="28"/>
          <w:szCs w:val="28"/>
          <w:u w:val="single"/>
        </w:rPr>
        <w:t>следующих норм и правил</w:t>
      </w:r>
      <w:r>
        <w:rPr>
          <w:sz w:val="28"/>
          <w:szCs w:val="28"/>
        </w:rPr>
        <w:t>:</w:t>
      </w:r>
    </w:p>
    <w:p>
      <w:pPr>
        <w:pStyle w:val="ListParagraph"/>
        <w:numPr>
          <w:ilvl w:val="0"/>
          <w:numId w:val="1"/>
        </w:numPr>
        <w:spacing w:lineRule="auto" w:line="276"/>
        <w:ind w:left="0" w:hanging="0"/>
        <w:jc w:val="both"/>
        <w:rPr>
          <w:sz w:val="28"/>
          <w:szCs w:val="28"/>
        </w:rPr>
      </w:pPr>
      <w:r>
        <w:rPr>
          <w:b/>
          <w:bCs/>
          <w:i/>
          <w:iCs/>
          <w:sz w:val="28"/>
          <w:szCs w:val="28"/>
        </w:rPr>
        <w:t>Приказ от 15 декабря 2020 г. № 903н</w:t>
      </w:r>
      <w:r>
        <w:rPr>
          <w:sz w:val="28"/>
          <w:szCs w:val="28"/>
        </w:rPr>
        <w:t xml:space="preserve"> «Об утверждении правил по охране труда при эксплуатации электроустановок». Особое внимание уделить следующим разделам:</w:t>
      </w:r>
    </w:p>
    <w:p>
      <w:pPr>
        <w:pStyle w:val="ListParagraph"/>
        <w:numPr>
          <w:ilvl w:val="1"/>
          <w:numId w:val="1"/>
        </w:numPr>
        <w:spacing w:lineRule="auto" w:line="276"/>
        <w:ind w:left="0" w:hanging="0"/>
        <w:jc w:val="both"/>
        <w:rPr>
          <w:sz w:val="28"/>
          <w:szCs w:val="28"/>
        </w:rPr>
      </w:pPr>
      <w:r>
        <w:rPr>
          <w:b/>
          <w:bCs/>
          <w:i/>
          <w:iCs/>
          <w:sz w:val="28"/>
          <w:szCs w:val="28"/>
        </w:rPr>
        <w:t xml:space="preserve">Раздел </w:t>
      </w:r>
      <w:r>
        <w:rPr>
          <w:b/>
          <w:bCs/>
          <w:i/>
          <w:iCs/>
          <w:sz w:val="28"/>
          <w:szCs w:val="28"/>
          <w:lang w:val="en-US"/>
        </w:rPr>
        <w:t>III</w:t>
      </w:r>
      <w:r>
        <w:rPr>
          <w:b/>
          <w:bCs/>
          <w:i/>
          <w:iCs/>
          <w:sz w:val="28"/>
          <w:szCs w:val="28"/>
        </w:rPr>
        <w:t xml:space="preserve">. </w:t>
      </w:r>
      <w:r>
        <w:rPr>
          <w:sz w:val="28"/>
          <w:szCs w:val="28"/>
        </w:rPr>
        <w:t xml:space="preserve">«Охрана труда при оперативном обслуживании и осмотрах электроустановок». Таблица №1 </w:t>
      </w:r>
      <w:r>
        <w:rPr>
          <w:b/>
          <w:bCs/>
          <w:i/>
          <w:iCs/>
          <w:sz w:val="28"/>
          <w:szCs w:val="28"/>
        </w:rPr>
        <w:t>«Допустимые расстояния до токоведущих частей электроустановок, находящихся под напряжением»</w:t>
      </w:r>
      <w:r>
        <w:rPr>
          <w:sz w:val="28"/>
          <w:szCs w:val="28"/>
        </w:rPr>
        <w:t>:</w:t>
      </w:r>
    </w:p>
    <w:tbl>
      <w:tblPr>
        <w:tblW w:w="9560" w:type="dxa"/>
        <w:jc w:val="left"/>
        <w:tblInd w:w="67" w:type="dxa"/>
        <w:tblLayout w:type="fixed"/>
        <w:tblCellMar>
          <w:top w:w="102" w:type="dxa"/>
          <w:left w:w="62" w:type="dxa"/>
          <w:bottom w:w="102" w:type="dxa"/>
          <w:right w:w="62" w:type="dxa"/>
        </w:tblCellMar>
        <w:tblLook w:val="0000"/>
      </w:tblPr>
      <w:tblGrid>
        <w:gridCol w:w="2563"/>
        <w:gridCol w:w="3169"/>
        <w:gridCol w:w="3828"/>
      </w:tblGrid>
      <w:tr>
        <w:trPr/>
        <w:tc>
          <w:tcPr>
            <w:tcW w:w="25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Напряжение электроустановок, кВ</w:t>
            </w:r>
          </w:p>
        </w:tc>
        <w:tc>
          <w:tcPr>
            <w:tcW w:w="31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Расстояние от работников и применяемых ими инструментов и приспособлений, от временных ограждений, м</w:t>
            </w:r>
          </w:p>
        </w:tc>
        <w:tc>
          <w:tcPr>
            <w:tcW w:w="382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Расстояния от механизмов и подъемных сооружений в рабочем и транспортном положении от стропов, грузозахватных приспособлений и грузов, м</w:t>
            </w:r>
          </w:p>
        </w:tc>
      </w:tr>
      <w:tr>
        <w:trPr/>
        <w:tc>
          <w:tcPr>
            <w:tcW w:w="25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ВЛ до 1</w:t>
            </w:r>
          </w:p>
        </w:tc>
        <w:tc>
          <w:tcPr>
            <w:tcW w:w="31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0,6</w:t>
            </w:r>
          </w:p>
        </w:tc>
        <w:tc>
          <w:tcPr>
            <w:tcW w:w="382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1,0</w:t>
            </w:r>
          </w:p>
        </w:tc>
      </w:tr>
      <w:tr>
        <w:trPr/>
        <w:tc>
          <w:tcPr>
            <w:tcW w:w="25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Остальные электроустановки:</w:t>
            </w:r>
          </w:p>
        </w:tc>
        <w:tc>
          <w:tcPr>
            <w:tcW w:w="3169"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c>
          <w:tcPr>
            <w:tcW w:w="382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8"/>
                <w:szCs w:val="28"/>
              </w:rPr>
            </w:pPr>
            <w:r>
              <w:rPr>
                <w:rFonts w:cs="Times New Roman" w:ascii="Times New Roman" w:hAnsi="Times New Roman"/>
                <w:sz w:val="28"/>
                <w:szCs w:val="28"/>
              </w:rPr>
            </w:r>
          </w:p>
        </w:tc>
      </w:tr>
      <w:tr>
        <w:trPr/>
        <w:tc>
          <w:tcPr>
            <w:tcW w:w="25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до 1</w:t>
            </w:r>
          </w:p>
        </w:tc>
        <w:tc>
          <w:tcPr>
            <w:tcW w:w="31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не нормируется</w:t>
            </w:r>
          </w:p>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(без прикосновения)</w:t>
            </w:r>
          </w:p>
        </w:tc>
        <w:tc>
          <w:tcPr>
            <w:tcW w:w="382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1,0</w:t>
            </w:r>
          </w:p>
        </w:tc>
      </w:tr>
      <w:tr>
        <w:trPr/>
        <w:tc>
          <w:tcPr>
            <w:tcW w:w="256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1 - 35</w:t>
            </w:r>
          </w:p>
        </w:tc>
        <w:tc>
          <w:tcPr>
            <w:tcW w:w="316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0,6</w:t>
            </w:r>
          </w:p>
        </w:tc>
        <w:tc>
          <w:tcPr>
            <w:tcW w:w="382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8"/>
                <w:szCs w:val="28"/>
              </w:rPr>
            </w:pPr>
            <w:r>
              <w:rPr>
                <w:rFonts w:cs="Times New Roman" w:ascii="Times New Roman" w:hAnsi="Times New Roman"/>
                <w:sz w:val="28"/>
                <w:szCs w:val="28"/>
              </w:rPr>
              <w:t>1,0</w:t>
            </w:r>
          </w:p>
        </w:tc>
      </w:tr>
    </w:tbl>
    <w:p>
      <w:pPr>
        <w:pStyle w:val="ListParagraph"/>
        <w:spacing w:lineRule="auto" w:line="276"/>
        <w:ind w:left="0" w:hanging="0"/>
        <w:jc w:val="both"/>
        <w:rPr>
          <w:sz w:val="28"/>
          <w:szCs w:val="28"/>
        </w:rPr>
      </w:pPr>
      <w:r>
        <w:rPr>
          <w:sz w:val="28"/>
          <w:szCs w:val="28"/>
        </w:rPr>
      </w:r>
    </w:p>
    <w:p>
      <w:pPr>
        <w:pStyle w:val="ListParagraph"/>
        <w:numPr>
          <w:ilvl w:val="1"/>
          <w:numId w:val="1"/>
        </w:numPr>
        <w:spacing w:lineRule="auto" w:line="276"/>
        <w:ind w:left="0" w:hanging="0"/>
        <w:jc w:val="both"/>
        <w:rPr>
          <w:sz w:val="28"/>
          <w:szCs w:val="28"/>
        </w:rPr>
      </w:pPr>
      <w:r>
        <w:rPr>
          <w:b/>
          <w:bCs/>
          <w:i/>
          <w:iCs/>
          <w:sz w:val="28"/>
          <w:szCs w:val="28"/>
        </w:rPr>
        <w:t xml:space="preserve">Раздел </w:t>
      </w:r>
      <w:r>
        <w:rPr>
          <w:b/>
          <w:bCs/>
          <w:i/>
          <w:iCs/>
          <w:sz w:val="28"/>
          <w:szCs w:val="28"/>
          <w:lang w:val="en-US"/>
        </w:rPr>
        <w:t>XLV</w:t>
      </w:r>
      <w:r>
        <w:rPr>
          <w:sz w:val="28"/>
          <w:szCs w:val="28"/>
        </w:rPr>
        <w:t>. «Охрана труда при выполнении работ в электроустановках с применением автомобилей, грузоподъемных машин и механизмов, лестниц».</w:t>
      </w:r>
    </w:p>
    <w:p>
      <w:pPr>
        <w:pStyle w:val="ListParagraph"/>
        <w:numPr>
          <w:ilvl w:val="1"/>
          <w:numId w:val="1"/>
        </w:numPr>
        <w:spacing w:lineRule="auto" w:line="276"/>
        <w:ind w:left="0" w:hanging="0"/>
        <w:jc w:val="both"/>
        <w:rPr>
          <w:sz w:val="28"/>
          <w:szCs w:val="28"/>
        </w:rPr>
      </w:pPr>
      <w:r>
        <w:rPr>
          <w:b/>
          <w:bCs/>
          <w:i/>
          <w:iCs/>
          <w:sz w:val="28"/>
          <w:szCs w:val="28"/>
        </w:rPr>
        <w:t xml:space="preserve">Раздел </w:t>
      </w:r>
      <w:r>
        <w:rPr>
          <w:b/>
          <w:bCs/>
          <w:i/>
          <w:iCs/>
          <w:sz w:val="28"/>
          <w:szCs w:val="28"/>
          <w:lang w:val="en-US"/>
        </w:rPr>
        <w:t>XLVI</w:t>
      </w:r>
      <w:r>
        <w:rPr>
          <w:sz w:val="28"/>
          <w:szCs w:val="28"/>
        </w:rPr>
        <w:t>. «Охрана труда при организации работ командированного персонала».</w:t>
      </w:r>
    </w:p>
    <w:p>
      <w:pPr>
        <w:pStyle w:val="ListParagraph"/>
        <w:numPr>
          <w:ilvl w:val="1"/>
          <w:numId w:val="1"/>
        </w:numPr>
        <w:spacing w:lineRule="auto" w:line="276"/>
        <w:ind w:left="0" w:hanging="0"/>
        <w:jc w:val="both"/>
        <w:rPr>
          <w:sz w:val="28"/>
          <w:szCs w:val="28"/>
        </w:rPr>
      </w:pPr>
      <w:r>
        <w:rPr>
          <w:b/>
          <w:bCs/>
          <w:i/>
          <w:iCs/>
          <w:sz w:val="28"/>
          <w:szCs w:val="28"/>
        </w:rPr>
        <w:t xml:space="preserve">Раздел </w:t>
      </w:r>
      <w:r>
        <w:rPr>
          <w:b/>
          <w:bCs/>
          <w:i/>
          <w:iCs/>
          <w:sz w:val="28"/>
          <w:szCs w:val="28"/>
          <w:lang w:val="en-US"/>
        </w:rPr>
        <w:t>XLVI</w:t>
      </w:r>
      <w:r>
        <w:rPr>
          <w:b/>
          <w:bCs/>
          <w:i/>
          <w:iCs/>
          <w:sz w:val="28"/>
          <w:szCs w:val="28"/>
        </w:rPr>
        <w:t>.</w:t>
      </w:r>
      <w:r>
        <w:rPr>
          <w:sz w:val="28"/>
          <w:szCs w:val="28"/>
        </w:rPr>
        <w:t xml:space="preserve"> «Охрана труда при допуске персонала строительно-монтажных организаций к работам в действующих электроустановках и в охранной зоне линий электропередачи».</w:t>
      </w:r>
    </w:p>
    <w:p>
      <w:pPr>
        <w:pStyle w:val="ListParagraph"/>
        <w:numPr>
          <w:ilvl w:val="0"/>
          <w:numId w:val="1"/>
        </w:numPr>
        <w:spacing w:lineRule="auto" w:line="276"/>
        <w:ind w:left="0" w:hanging="0"/>
        <w:jc w:val="both"/>
        <w:rPr>
          <w:sz w:val="28"/>
          <w:szCs w:val="28"/>
        </w:rPr>
      </w:pPr>
      <w:r>
        <w:rPr>
          <w:b/>
          <w:bCs/>
          <w:i/>
          <w:iCs/>
          <w:sz w:val="28"/>
          <w:szCs w:val="28"/>
        </w:rPr>
        <w:t>Постановление Правительства Российской Федерации от 24 февраля 2009 г. N 160</w:t>
      </w:r>
      <w:r>
        <w:rPr>
          <w:sz w:val="28"/>
          <w:szCs w:val="28"/>
        </w:rPr>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Особое внимание уделить следующим разделам:</w:t>
      </w:r>
    </w:p>
    <w:p>
      <w:pPr>
        <w:pStyle w:val="ListParagraph"/>
        <w:numPr>
          <w:ilvl w:val="1"/>
          <w:numId w:val="1"/>
        </w:numPr>
        <w:spacing w:lineRule="auto" w:line="276"/>
        <w:ind w:left="0" w:hanging="0"/>
        <w:jc w:val="both"/>
        <w:rPr>
          <w:sz w:val="28"/>
          <w:szCs w:val="28"/>
        </w:rPr>
      </w:pPr>
      <w:r>
        <w:rPr>
          <w:b/>
          <w:bCs/>
          <w:i/>
          <w:iCs/>
          <w:sz w:val="28"/>
          <w:szCs w:val="28"/>
        </w:rPr>
        <w:t>Раздел II.</w:t>
      </w:r>
      <w:r>
        <w:rPr>
          <w:sz w:val="28"/>
          <w:szCs w:val="28"/>
        </w:rPr>
        <w:t xml:space="preserve"> Установление охранных зон </w:t>
      </w:r>
    </w:p>
    <w:p>
      <w:pPr>
        <w:pStyle w:val="Normal"/>
        <w:spacing w:lineRule="auto" w:line="276"/>
        <w:jc w:val="both"/>
        <w:rPr>
          <w:sz w:val="28"/>
          <w:szCs w:val="28"/>
        </w:rPr>
      </w:pPr>
      <w:r>
        <w:rPr>
          <w:b/>
          <w:bCs/>
          <w:i/>
          <w:iCs/>
          <w:sz w:val="28"/>
          <w:szCs w:val="28"/>
        </w:rPr>
        <w:tab/>
        <w:t>Пункт 5.</w:t>
      </w:r>
      <w:r>
        <w:rPr>
          <w:sz w:val="28"/>
          <w:szCs w:val="28"/>
        </w:rPr>
        <w:t xml:space="preserve">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 к Постановлению:</w:t>
      </w:r>
    </w:p>
    <w:p>
      <w:pPr>
        <w:pStyle w:val="Normal"/>
        <w:spacing w:lineRule="auto" w:line="276"/>
        <w:ind w:firstLine="709"/>
        <w:jc w:val="both"/>
        <w:rPr>
          <w:sz w:val="28"/>
          <w:szCs w:val="28"/>
        </w:rPr>
      </w:pPr>
      <w:r>
        <w:rPr>
          <w:sz w:val="28"/>
          <w:szCs w:val="28"/>
        </w:rPr>
        <w:t>Охранные зоны устанавливаются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10 метров (5 метров - для линий с самонесущими или изолированными проводами, размещенных в границах населенных пунктов) для класса напряжения 1 – 20 кВ и на расстоянии 2 метров для класса напряжения до 1 кВ.</w:t>
      </w:r>
    </w:p>
    <w:p>
      <w:pPr>
        <w:pStyle w:val="ListParagraph"/>
        <w:numPr>
          <w:ilvl w:val="1"/>
          <w:numId w:val="1"/>
        </w:numPr>
        <w:spacing w:lineRule="auto" w:line="276"/>
        <w:ind w:left="0" w:hanging="0"/>
        <w:jc w:val="both"/>
        <w:rPr>
          <w:sz w:val="28"/>
          <w:szCs w:val="28"/>
        </w:rPr>
      </w:pPr>
      <w:r>
        <w:rPr>
          <w:b/>
          <w:bCs/>
          <w:i/>
          <w:iCs/>
          <w:sz w:val="28"/>
          <w:szCs w:val="28"/>
        </w:rPr>
        <w:t>Раздел III.</w:t>
      </w:r>
      <w:r>
        <w:rPr>
          <w:sz w:val="28"/>
          <w:szCs w:val="28"/>
        </w:rPr>
        <w:t xml:space="preserve"> Правила охраны электрических сетей, размещенных на земельных участках</w:t>
      </w:r>
    </w:p>
    <w:p>
      <w:pPr>
        <w:pStyle w:val="Normal"/>
        <w:spacing w:lineRule="auto" w:line="276"/>
        <w:jc w:val="both"/>
        <w:rPr>
          <w:sz w:val="28"/>
          <w:szCs w:val="28"/>
        </w:rPr>
      </w:pPr>
      <w:r>
        <w:rPr>
          <w:b/>
          <w:bCs/>
          <w:i/>
          <w:iCs/>
          <w:sz w:val="28"/>
          <w:szCs w:val="28"/>
        </w:rPr>
        <w:tab/>
        <w:t>Пункт 9.</w:t>
      </w:r>
      <w:r>
        <w:rPr>
          <w:sz w:val="28"/>
          <w:szCs w:val="28"/>
        </w:rPr>
        <w:t xml:space="preserve"> В охранных зонах, установленных для объектов электросетевого хозяйства напряжением свыше 1000 вольт запрещается устанавливать рекламные конструкции. (подпункт ж) - введен </w:t>
      </w:r>
      <w:r>
        <w:rPr>
          <w:color w:val="000000" w:themeColor="text1"/>
          <w:sz w:val="28"/>
          <w:szCs w:val="28"/>
        </w:rPr>
        <w:t xml:space="preserve">Постановлением </w:t>
      </w:r>
      <w:r>
        <w:rPr>
          <w:b/>
          <w:bCs/>
          <w:i/>
          <w:iCs/>
          <w:color w:val="000000" w:themeColor="text1"/>
          <w:sz w:val="28"/>
          <w:szCs w:val="28"/>
        </w:rPr>
        <w:t>П</w:t>
      </w:r>
      <w:r>
        <w:rPr>
          <w:b/>
          <w:bCs/>
          <w:i/>
          <w:iCs/>
          <w:sz w:val="28"/>
          <w:szCs w:val="28"/>
        </w:rPr>
        <w:t>равительства РФ от 18.02.2023 N 270)</w:t>
      </w:r>
      <w:r>
        <w:rPr>
          <w:sz w:val="28"/>
          <w:szCs w:val="28"/>
        </w:rPr>
        <w:t>.</w:t>
      </w:r>
    </w:p>
    <w:p>
      <w:pPr>
        <w:pStyle w:val="ListParagraph"/>
        <w:spacing w:lineRule="auto" w:line="276"/>
        <w:ind w:left="0" w:hanging="0"/>
        <w:jc w:val="both"/>
        <w:rPr>
          <w:sz w:val="28"/>
          <w:szCs w:val="28"/>
        </w:rPr>
      </w:pPr>
      <w:r>
        <w:rPr>
          <w:b/>
          <w:bCs/>
          <w:i/>
          <w:iCs/>
          <w:sz w:val="28"/>
          <w:szCs w:val="28"/>
        </w:rPr>
        <w:tab/>
        <w:t xml:space="preserve">Пункт 10. </w:t>
      </w:r>
      <w:r>
        <w:rPr>
          <w:sz w:val="28"/>
          <w:szCs w:val="28"/>
        </w:rPr>
        <w:t>В пределах охранных зон без письменного решения о согласовании сетевых организаций юридическим и физическим лицам запрещается строительство, капитальный ремонт, реконструкция или снос зданий и сооружений.</w:t>
      </w:r>
    </w:p>
    <w:p>
      <w:pPr>
        <w:pStyle w:val="ListParagraph"/>
        <w:numPr>
          <w:ilvl w:val="0"/>
          <w:numId w:val="1"/>
        </w:numPr>
        <w:spacing w:lineRule="auto" w:line="276"/>
        <w:ind w:left="0" w:hanging="0"/>
        <w:jc w:val="both"/>
        <w:rPr>
          <w:sz w:val="28"/>
          <w:szCs w:val="28"/>
        </w:rPr>
      </w:pPr>
      <w:r>
        <w:rPr>
          <w:b/>
          <w:bCs/>
          <w:i/>
          <w:iCs/>
          <w:sz w:val="28"/>
          <w:szCs w:val="28"/>
        </w:rPr>
        <w:t>Приказ от 16 ноября 2020 г. № 782н</w:t>
      </w:r>
      <w:r>
        <w:rPr>
          <w:sz w:val="28"/>
          <w:szCs w:val="28"/>
        </w:rPr>
        <w:t xml:space="preserve"> «Об утверждении правил по охране труда при работе на высоте». </w:t>
      </w:r>
    </w:p>
    <w:p>
      <w:pPr>
        <w:pStyle w:val="Normal"/>
        <w:spacing w:lineRule="auto" w:line="276"/>
        <w:ind w:firstLine="720"/>
        <w:jc w:val="both"/>
        <w:rPr>
          <w:sz w:val="28"/>
          <w:szCs w:val="28"/>
        </w:rPr>
      </w:pPr>
      <w:r>
        <w:rPr>
          <w:sz w:val="28"/>
          <w:szCs w:val="28"/>
        </w:rPr>
        <w:t>При обнаружении сетевыми организациями и иными лицами фактов нарушения вышеизложенных норм и правил в границах охранных зон, указные лица вправе обратиться в соответствии с законодательством Российской Федерации в органы исполнительной власти, уполномоченные на рассмотрение дел о соответствующих нарушениях.</w:t>
      </w:r>
    </w:p>
    <w:p>
      <w:pPr>
        <w:pStyle w:val="Normal"/>
        <w:ind w:firstLine="709"/>
        <w:jc w:val="both"/>
        <w:rPr>
          <w:sz w:val="28"/>
          <w:szCs w:val="28"/>
        </w:rPr>
      </w:pPr>
      <w:r>
        <w:rPr/>
      </w:r>
    </w:p>
    <w:sectPr>
      <w:headerReference w:type="even" r:id="rId2"/>
      <w:headerReference w:type="default" r:id="rId3"/>
      <w:type w:val="nextPage"/>
      <w:pgSz w:w="11906" w:h="16838"/>
      <w:pgMar w:left="1701" w:right="709" w:gutter="0" w:header="709" w:top="766"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PT Astra Serif">
    <w:charset w:val="01"/>
    <w:family w:val="roman"/>
    <w:pitch w:val="default"/>
  </w:font>
  <w:font w:name="Tahoma">
    <w:charset w:val="01"/>
    <w:family w:val="roman"/>
    <w:pitch w:val="default"/>
  </w:font>
  <w:font w:name="Arial Unicode MS">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2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0pt;margin-top:0.05pt;width:1.1pt;height:1.1pt;mso-wrap-style:square;v-text-anchor:top;mso-position-horizontal:center;mso-position-horizontal-relative:margin">
              <v:fill o:detectmouseclick="t" type="solid" color2="black" opacity="0"/>
              <v:stroke color="#3465a4" joinstyle="round" endcap="flat"/>
              <v:textbox>
                <w:txbxContent>
                  <w:p>
                    <w:pPr>
                      <w:pStyle w:val="Style2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9" w:hanging="360"/>
      </w:pPr>
      <w:rPr/>
    </w:lvl>
    <w:lvl w:ilvl="1">
      <w:start w:val="1"/>
      <w:numFmt w:val="decimal"/>
      <w:lvlText w:val="%1.%2."/>
      <w:lvlJc w:val="left"/>
      <w:pPr>
        <w:tabs>
          <w:tab w:val="num" w:pos="0"/>
        </w:tabs>
        <w:ind w:left="1429" w:hanging="360"/>
      </w:pPr>
      <w:rPr/>
    </w:lvl>
    <w:lvl w:ilvl="2">
      <w:start w:val="1"/>
      <w:numFmt w:val="decimal"/>
      <w:lvlText w:val="%1.%2.%3."/>
      <w:lvlJc w:val="left"/>
      <w:pPr>
        <w:tabs>
          <w:tab w:val="num" w:pos="0"/>
        </w:tabs>
        <w:ind w:left="2149" w:hanging="720"/>
      </w:pPr>
      <w:rPr/>
    </w:lvl>
    <w:lvl w:ilvl="3">
      <w:start w:val="1"/>
      <w:numFmt w:val="decimal"/>
      <w:lvlText w:val="%1.%2.%3.%4."/>
      <w:lvlJc w:val="left"/>
      <w:pPr>
        <w:tabs>
          <w:tab w:val="num" w:pos="0"/>
        </w:tabs>
        <w:ind w:left="2509" w:hanging="720"/>
      </w:pPr>
      <w:rPr/>
    </w:lvl>
    <w:lvl w:ilvl="4">
      <w:start w:val="1"/>
      <w:numFmt w:val="decimal"/>
      <w:lvlText w:val="%1.%2.%3.%4.%5."/>
      <w:lvlJc w:val="left"/>
      <w:pPr>
        <w:tabs>
          <w:tab w:val="num" w:pos="0"/>
        </w:tabs>
        <w:ind w:left="3229" w:hanging="1080"/>
      </w:pPr>
      <w:rPr/>
    </w:lvl>
    <w:lvl w:ilvl="5">
      <w:start w:val="1"/>
      <w:numFmt w:val="decimal"/>
      <w:lvlText w:val="%1.%2.%3.%4.%5.%6."/>
      <w:lvlJc w:val="left"/>
      <w:pPr>
        <w:tabs>
          <w:tab w:val="num" w:pos="0"/>
        </w:tabs>
        <w:ind w:left="3589" w:hanging="1080"/>
      </w:pPr>
      <w:rPr/>
    </w:lvl>
    <w:lvl w:ilvl="6">
      <w:start w:val="1"/>
      <w:numFmt w:val="decimal"/>
      <w:lvlText w:val="%1.%2.%3.%4.%5.%6.%7."/>
      <w:lvlJc w:val="left"/>
      <w:pPr>
        <w:tabs>
          <w:tab w:val="num" w:pos="0"/>
        </w:tabs>
        <w:ind w:left="4309" w:hanging="1440"/>
      </w:pPr>
      <w:rPr/>
    </w:lvl>
    <w:lvl w:ilvl="7">
      <w:start w:val="1"/>
      <w:numFmt w:val="decimal"/>
      <w:lvlText w:val="%1.%2.%3.%4.%5.%6.%7.%8."/>
      <w:lvlJc w:val="left"/>
      <w:pPr>
        <w:tabs>
          <w:tab w:val="num" w:pos="0"/>
        </w:tabs>
        <w:ind w:left="4669" w:hanging="1440"/>
      </w:pPr>
      <w:rPr/>
    </w:lvl>
    <w:lvl w:ilvl="8">
      <w:start w:val="1"/>
      <w:numFmt w:val="decimal"/>
      <w:lvlText w:val="%1.%2.%3.%4.%5.%6.%7.%8.%9."/>
      <w:lvlJc w:val="left"/>
      <w:pPr>
        <w:tabs>
          <w:tab w:val="num" w:pos="0"/>
        </w:tabs>
        <w:ind w:left="5389"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372a8"/>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567751"/>
    <w:rPr/>
  </w:style>
  <w:style w:type="character" w:styleId="Style14" w:customStyle="1">
    <w:name w:val="Нижний колонтитул Знак"/>
    <w:basedOn w:val="DefaultParagraphFont"/>
    <w:qFormat/>
    <w:rsid w:val="00b4064a"/>
    <w:rPr>
      <w:sz w:val="24"/>
      <w:szCs w:val="24"/>
    </w:rPr>
  </w:style>
  <w:style w:type="character" w:styleId="-">
    <w:name w:val="Hyperlink"/>
    <w:basedOn w:val="DefaultParagraphFont"/>
    <w:rsid w:val="002a3730"/>
    <w:rPr>
      <w:color w:val="0000FF" w:themeColor="hyperlink"/>
      <w:u w:val="single"/>
    </w:rPr>
  </w:style>
  <w:style w:type="character" w:styleId="FontStyle16" w:customStyle="1">
    <w:name w:val="Font Style16"/>
    <w:uiPriority w:val="99"/>
    <w:qFormat/>
    <w:rsid w:val="009a13d8"/>
    <w:rPr>
      <w:rFonts w:ascii="Times New Roman" w:hAnsi="Times New Roman" w:cs="Times New Roman"/>
      <w:sz w:val="24"/>
      <w:szCs w:val="24"/>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semiHidden/>
    <w:qFormat/>
    <w:rsid w:val="00702f30"/>
    <w:pPr/>
    <w:rPr>
      <w:rFonts w:ascii="Tahoma" w:hAnsi="Tahoma" w:cs="Tahoma"/>
      <w:sz w:val="16"/>
      <w:szCs w:val="16"/>
    </w:rPr>
  </w:style>
  <w:style w:type="paragraph" w:styleId="Style20">
    <w:name w:val="Колонтитул"/>
    <w:basedOn w:val="Normal"/>
    <w:qFormat/>
    <w:pPr/>
    <w:rPr/>
  </w:style>
  <w:style w:type="paragraph" w:styleId="Style21">
    <w:name w:val="Header"/>
    <w:basedOn w:val="Normal"/>
    <w:rsid w:val="00567751"/>
    <w:pPr>
      <w:tabs>
        <w:tab w:val="clear" w:pos="709"/>
        <w:tab w:val="center" w:pos="4677" w:leader="none"/>
        <w:tab w:val="right" w:pos="9355" w:leader="none"/>
      </w:tabs>
    </w:pPr>
    <w:rPr/>
  </w:style>
  <w:style w:type="paragraph" w:styleId="ListParagraph">
    <w:name w:val="List Paragraph"/>
    <w:basedOn w:val="Normal"/>
    <w:uiPriority w:val="34"/>
    <w:qFormat/>
    <w:rsid w:val="009d7494"/>
    <w:pPr>
      <w:spacing w:before="0" w:after="0"/>
      <w:ind w:left="720" w:hanging="0"/>
      <w:contextualSpacing/>
    </w:pPr>
    <w:rPr/>
  </w:style>
  <w:style w:type="paragraph" w:styleId="Style22">
    <w:name w:val="Footer"/>
    <w:basedOn w:val="Normal"/>
    <w:link w:val="Style14"/>
    <w:rsid w:val="00b4064a"/>
    <w:pPr>
      <w:tabs>
        <w:tab w:val="clear" w:pos="709"/>
        <w:tab w:val="center" w:pos="4677" w:leader="none"/>
        <w:tab w:val="right" w:pos="9355" w:leader="none"/>
      </w:tabs>
    </w:pPr>
    <w:rPr/>
  </w:style>
  <w:style w:type="paragraph" w:styleId="Style81" w:customStyle="1">
    <w:name w:val="Style8"/>
    <w:basedOn w:val="Normal"/>
    <w:uiPriority w:val="99"/>
    <w:qFormat/>
    <w:rsid w:val="009a13d8"/>
    <w:pPr>
      <w:widowControl w:val="false"/>
      <w:spacing w:lineRule="exact" w:line="302"/>
      <w:ind w:firstLine="662"/>
      <w:jc w:val="both"/>
    </w:pPr>
    <w:rPr>
      <w:rFonts w:ascii="Arial Unicode MS" w:hAnsi="Arial Unicode MS" w:eastAsia="Arial Unicode MS" w:cs="Arial Unicode MS"/>
    </w:rPr>
  </w:style>
  <w:style w:type="paragraph" w:styleId="ConsPlusNormal" w:customStyle="1">
    <w:name w:val="ConsPlusNormal"/>
    <w:qFormat/>
    <w:rsid w:val="00a50b14"/>
    <w:pPr>
      <w:widowControl w:val="false"/>
      <w:suppressAutoHyphens w:val="true"/>
      <w:bidi w:val="0"/>
      <w:spacing w:before="0" w:after="0"/>
      <w:jc w:val="left"/>
    </w:pPr>
    <w:rPr>
      <w:rFonts w:ascii="Arial" w:hAnsi="Arial" w:eastAsia="" w:cs="Arial" w:eastAsiaTheme="minorEastAsia"/>
      <w:color w:val="auto"/>
      <w:kern w:val="0"/>
      <w:sz w:val="20"/>
      <w:szCs w:val="20"/>
      <w:lang w:val="ru-RU" w:eastAsia="ru-RU" w:bidi="ar-SA"/>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3">
    <w:name w:val="Table Grid"/>
    <w:basedOn w:val="a1"/>
    <w:uiPriority w:val="39"/>
    <w:rsid w:val="009645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389E2-2947-4279-919E-358136EF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Application>LibreOffice/7.5.2.1$Linux_X86_64 LibreOffice_project/50$Build-1</Application>
  <AppVersion>15.0000</AppVersion>
  <Pages>3</Pages>
  <Words>536</Words>
  <Characters>3655</Characters>
  <CharactersWithSpaces>4153</CharactersWithSpaces>
  <Paragraphs>37</Paragraphs>
  <Company>Приморское ПМЭС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2023-06-19T23:24:00Z</dcterms:created>
  <dc:creator>mvr</dc:creator>
  <dc:description/>
  <dc:language>ru-RU</dc:language>
  <cp:lastModifiedBy/>
  <cp:lastPrinted>2024-06-14T04:32:00Z</cp:lastPrinted>
  <dcterms:modified xsi:type="dcterms:W3CDTF">2024-06-17T17:01:03Z</dcterms:modified>
  <cp:revision>25</cp:revision>
  <dc:subject/>
  <dc:title>Федеральная</dc:title>
</cp:coreProperties>
</file>

<file path=docProps/custom.xml><?xml version="1.0" encoding="utf-8"?>
<Properties xmlns="http://schemas.openxmlformats.org/officeDocument/2006/custom-properties" xmlns:vt="http://schemas.openxmlformats.org/officeDocument/2006/docPropsVTypes"/>
</file>