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6" w:rsidRDefault="00616D6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16D66" w:rsidRDefault="00616D66">
      <w:pPr>
        <w:sectPr w:rsidR="00616D66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616D66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616D66" w:rsidRDefault="000816C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D66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616D66" w:rsidRDefault="000816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-1280160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616D66" w:rsidRDefault="000816C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616D66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616D66" w:rsidRDefault="000816C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616D66" w:rsidRDefault="00616D66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D66" w:rsidRDefault="00616D66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616D66" w:rsidRDefault="00616D66">
      <w:pPr>
        <w:sectPr w:rsidR="00616D66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09"/>
        <w:gridCol w:w="1173"/>
      </w:tblGrid>
      <w:tr w:rsidR="00616D66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616D66" w:rsidRDefault="000816C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 2020 г.</w:t>
            </w:r>
          </w:p>
        </w:tc>
        <w:tc>
          <w:tcPr>
            <w:tcW w:w="4914" w:type="dxa"/>
            <w:shd w:val="clear" w:color="auto" w:fill="auto"/>
          </w:tcPr>
          <w:p w:rsidR="00616D66" w:rsidRDefault="000816C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616D66" w:rsidRDefault="000816C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616D66" w:rsidRDefault="000816C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137-ра</w:t>
            </w:r>
          </w:p>
        </w:tc>
      </w:tr>
    </w:tbl>
    <w:p w:rsidR="00616D66" w:rsidRDefault="00616D66">
      <w:pPr>
        <w:tabs>
          <w:tab w:val="left" w:pos="8041"/>
        </w:tabs>
        <w:ind w:firstLine="748"/>
      </w:pPr>
    </w:p>
    <w:p w:rsidR="00616D66" w:rsidRDefault="00616D66">
      <w:pPr>
        <w:sectPr w:rsidR="00616D66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616D66" w:rsidRDefault="000816CF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b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О внесении изменений в распоряжение администрации </w:t>
      </w:r>
    </w:p>
    <w:p w:rsidR="00616D66" w:rsidRDefault="000816CF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b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>Арсеньевского городского округа от 22 мая 2020 года № 72-ра «О реализации</w:t>
      </w:r>
    </w:p>
    <w:p w:rsidR="00616D66" w:rsidRDefault="000816CF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b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мероприятий по созданию и организации системы внутреннего обеспечения соответствия требований антимонопольного законодательства </w:t>
      </w:r>
    </w:p>
    <w:p w:rsidR="00616D66" w:rsidRDefault="000816CF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b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в </w:t>
      </w:r>
      <w:r>
        <w:rPr>
          <w:rStyle w:val="3"/>
          <w:b/>
          <w:color w:val="000000"/>
          <w:sz w:val="26"/>
          <w:szCs w:val="26"/>
        </w:rPr>
        <w:t>администрации Арсеньевского городского округа»</w:t>
      </w:r>
    </w:p>
    <w:p w:rsidR="00616D66" w:rsidRDefault="00616D66">
      <w:pPr>
        <w:pStyle w:val="31"/>
        <w:shd w:val="clear" w:color="auto" w:fill="auto"/>
        <w:spacing w:before="0" w:after="0" w:line="322" w:lineRule="exact"/>
        <w:ind w:right="-2" w:firstLine="0"/>
        <w:jc w:val="center"/>
        <w:rPr>
          <w:bCs w:val="0"/>
          <w:color w:val="000000"/>
          <w:sz w:val="26"/>
          <w:szCs w:val="26"/>
        </w:rPr>
      </w:pPr>
    </w:p>
    <w:p w:rsidR="00616D66" w:rsidRDefault="000816CF">
      <w:pPr>
        <w:tabs>
          <w:tab w:val="left" w:pos="8041"/>
        </w:tabs>
        <w:spacing w:line="360" w:lineRule="auto"/>
        <w:rPr>
          <w:szCs w:val="26"/>
        </w:rPr>
      </w:pPr>
      <w:r>
        <w:rPr>
          <w:rStyle w:val="2"/>
          <w:color w:val="000000"/>
        </w:rPr>
        <w:t>В целях реализации распоряжения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szCs w:val="26"/>
        </w:rPr>
        <w:t>)»</w:t>
      </w:r>
      <w:r>
        <w:rPr>
          <w:rStyle w:val="2"/>
          <w:color w:val="000000"/>
        </w:rPr>
        <w:t>, руководствуясь</w:t>
      </w:r>
      <w:r>
        <w:rPr>
          <w:bCs/>
          <w:szCs w:val="26"/>
        </w:rPr>
        <w:t xml:space="preserve"> Уставом Арсеньевского городского округа </w:t>
      </w:r>
    </w:p>
    <w:p w:rsidR="00616D66" w:rsidRDefault="000816CF">
      <w:pPr>
        <w:spacing w:line="360" w:lineRule="auto"/>
        <w:rPr>
          <w:szCs w:val="26"/>
        </w:rPr>
      </w:pPr>
      <w:r>
        <w:rPr>
          <w:szCs w:val="26"/>
        </w:rPr>
        <w:t xml:space="preserve">1. Внести в </w:t>
      </w:r>
      <w:r>
        <w:rPr>
          <w:rStyle w:val="2"/>
          <w:color w:val="000000"/>
        </w:rPr>
        <w:t>ра</w:t>
      </w:r>
      <w:r>
        <w:rPr>
          <w:rStyle w:val="2"/>
          <w:color w:val="000000"/>
        </w:rPr>
        <w:t>споряжение администрации Арсеньевского городского округа от 22 мая 2020 года № 72-ра «</w:t>
      </w:r>
      <w:r>
        <w:rPr>
          <w:rStyle w:val="3"/>
          <w:b w:val="0"/>
          <w:color w:val="000000"/>
          <w:sz w:val="26"/>
          <w:szCs w:val="26"/>
        </w:rPr>
        <w:t>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</w:t>
      </w:r>
      <w:r>
        <w:rPr>
          <w:rStyle w:val="3"/>
          <w:b w:val="0"/>
          <w:color w:val="000000"/>
          <w:sz w:val="26"/>
          <w:szCs w:val="26"/>
        </w:rPr>
        <w:t xml:space="preserve"> городского округа» (далее – распоряжение) следующие изменения:</w:t>
      </w:r>
    </w:p>
    <w:p w:rsidR="00616D66" w:rsidRDefault="000816CF">
      <w:pPr>
        <w:spacing w:line="360" w:lineRule="auto"/>
        <w:rPr>
          <w:szCs w:val="26"/>
        </w:rPr>
      </w:pPr>
      <w:r>
        <w:rPr>
          <w:szCs w:val="26"/>
        </w:rPr>
        <w:lastRenderedPageBreak/>
        <w:t>1.1. Дополнить пункт 1 распоряжения абзацем следующего содержания:</w:t>
      </w:r>
    </w:p>
    <w:p w:rsidR="00616D66" w:rsidRDefault="000816CF">
      <w:pPr>
        <w:spacing w:line="360" w:lineRule="auto"/>
        <w:rPr>
          <w:szCs w:val="26"/>
        </w:rPr>
      </w:pPr>
      <w:r>
        <w:rPr>
          <w:szCs w:val="26"/>
        </w:rPr>
        <w:t>«методику расчета к</w:t>
      </w:r>
      <w:r>
        <w:rPr>
          <w:rStyle w:val="3"/>
          <w:b w:val="0"/>
          <w:color w:val="000000"/>
          <w:sz w:val="26"/>
          <w:szCs w:val="26"/>
        </w:rPr>
        <w:t xml:space="preserve">лючевых показателей эффективности </w:t>
      </w:r>
      <w:r>
        <w:rPr>
          <w:szCs w:val="26"/>
        </w:rPr>
        <w:t xml:space="preserve">функционирования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в администрации Арсеньевско</w:t>
      </w:r>
      <w:r>
        <w:rPr>
          <w:szCs w:val="26"/>
        </w:rPr>
        <w:t xml:space="preserve">го городского округа </w:t>
      </w:r>
      <w:r>
        <w:rPr>
          <w:rStyle w:val="3"/>
          <w:b w:val="0"/>
          <w:color w:val="000000"/>
          <w:sz w:val="26"/>
          <w:szCs w:val="26"/>
        </w:rPr>
        <w:t>(приложение № 5)</w:t>
      </w:r>
      <w:r>
        <w:rPr>
          <w:szCs w:val="26"/>
        </w:rPr>
        <w:t>.»;</w:t>
      </w:r>
    </w:p>
    <w:p w:rsidR="00616D66" w:rsidRDefault="000816CF">
      <w:pPr>
        <w:spacing w:line="360" w:lineRule="auto"/>
        <w:rPr>
          <w:szCs w:val="26"/>
        </w:rPr>
      </w:pPr>
      <w:r>
        <w:rPr>
          <w:szCs w:val="26"/>
        </w:rPr>
        <w:t>1.2. Дополнить распоряжение приложением № 5 в редакции приложения к настоящему распоряжению.</w:t>
      </w:r>
    </w:p>
    <w:p w:rsidR="00616D66" w:rsidRDefault="000816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Организационному управлению обеспечить размещение на официальном сайте администрации Арсеньевского городского округа на</w:t>
      </w:r>
      <w:r>
        <w:rPr>
          <w:rFonts w:ascii="Times New Roman" w:hAnsi="Times New Roman" w:cs="Times New Roman"/>
          <w:sz w:val="26"/>
          <w:szCs w:val="26"/>
        </w:rPr>
        <w:t>стоящего распоряжения.</w:t>
      </w:r>
    </w:p>
    <w:p w:rsidR="00616D66" w:rsidRDefault="00616D66">
      <w:pPr>
        <w:tabs>
          <w:tab w:val="left" w:pos="8041"/>
        </w:tabs>
        <w:ind w:firstLine="0"/>
        <w:rPr>
          <w:szCs w:val="26"/>
        </w:rPr>
      </w:pPr>
    </w:p>
    <w:p w:rsidR="00616D66" w:rsidRDefault="00616D66">
      <w:pPr>
        <w:tabs>
          <w:tab w:val="left" w:pos="8041"/>
        </w:tabs>
        <w:ind w:firstLine="0"/>
        <w:rPr>
          <w:szCs w:val="26"/>
        </w:rPr>
      </w:pPr>
    </w:p>
    <w:p w:rsidR="00616D66" w:rsidRDefault="000816CF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</w:t>
      </w:r>
      <w:proofErr w:type="spellStart"/>
      <w:r>
        <w:rPr>
          <w:szCs w:val="26"/>
        </w:rPr>
        <w:t>В.С.Пивень</w:t>
      </w:r>
      <w:proofErr w:type="spellEnd"/>
    </w:p>
    <w:p w:rsidR="00616D66" w:rsidRDefault="00616D66">
      <w:pPr>
        <w:tabs>
          <w:tab w:val="left" w:pos="8041"/>
        </w:tabs>
        <w:ind w:firstLine="0"/>
        <w:rPr>
          <w:szCs w:val="26"/>
        </w:rPr>
      </w:pPr>
    </w:p>
    <w:p w:rsidR="00616D66" w:rsidRDefault="00616D66">
      <w:pPr>
        <w:tabs>
          <w:tab w:val="left" w:pos="8041"/>
        </w:tabs>
        <w:ind w:firstLine="0"/>
        <w:rPr>
          <w:szCs w:val="26"/>
        </w:rPr>
      </w:pP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Приложение к</w:t>
      </w: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распоряжению администрации</w:t>
      </w: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«27»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августа </w:t>
      </w:r>
      <w:r>
        <w:rPr>
          <w:szCs w:val="26"/>
        </w:rPr>
        <w:t xml:space="preserve">2020 года № </w:t>
      </w:r>
      <w:r>
        <w:rPr>
          <w:szCs w:val="26"/>
          <w:u w:val="single"/>
        </w:rPr>
        <w:t>137-</w:t>
      </w:r>
      <w:r>
        <w:rPr>
          <w:szCs w:val="26"/>
        </w:rPr>
        <w:t>ра</w:t>
      </w:r>
    </w:p>
    <w:p w:rsidR="00616D66" w:rsidRDefault="00616D66">
      <w:pPr>
        <w:tabs>
          <w:tab w:val="left" w:pos="8041"/>
        </w:tabs>
        <w:ind w:left="4820" w:firstLine="0"/>
        <w:jc w:val="center"/>
        <w:rPr>
          <w:szCs w:val="26"/>
        </w:rPr>
      </w:pPr>
    </w:p>
    <w:p w:rsidR="00616D66" w:rsidRDefault="00616D66">
      <w:pPr>
        <w:tabs>
          <w:tab w:val="left" w:pos="8041"/>
        </w:tabs>
        <w:ind w:left="4820" w:firstLine="0"/>
        <w:jc w:val="center"/>
        <w:rPr>
          <w:szCs w:val="26"/>
        </w:rPr>
      </w:pP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«Приложение № 5</w:t>
      </w:r>
    </w:p>
    <w:p w:rsidR="00616D66" w:rsidRDefault="00616D66">
      <w:pPr>
        <w:tabs>
          <w:tab w:val="left" w:pos="8041"/>
        </w:tabs>
        <w:ind w:left="4820" w:firstLine="0"/>
        <w:jc w:val="center"/>
        <w:rPr>
          <w:szCs w:val="26"/>
        </w:rPr>
      </w:pP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УТВЕРЖДЕНА</w:t>
      </w:r>
      <w:bookmarkStart w:id="0" w:name="_GoBack"/>
      <w:bookmarkEnd w:id="0"/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распоряжением администрации</w:t>
      </w: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616D66" w:rsidRDefault="000816CF">
      <w:pPr>
        <w:tabs>
          <w:tab w:val="left" w:pos="8041"/>
        </w:tabs>
        <w:ind w:left="4820" w:firstLine="0"/>
        <w:jc w:val="center"/>
        <w:rPr>
          <w:szCs w:val="26"/>
        </w:rPr>
      </w:pPr>
      <w:r>
        <w:rPr>
          <w:szCs w:val="26"/>
        </w:rPr>
        <w:t>от «22» мая 2020 года № 72-ра</w:t>
      </w:r>
    </w:p>
    <w:p w:rsidR="00616D66" w:rsidRDefault="00616D66">
      <w:pPr>
        <w:tabs>
          <w:tab w:val="left" w:pos="8041"/>
        </w:tabs>
        <w:ind w:left="4820" w:firstLine="0"/>
        <w:jc w:val="center"/>
        <w:rPr>
          <w:szCs w:val="26"/>
        </w:rPr>
      </w:pPr>
    </w:p>
    <w:p w:rsidR="00616D66" w:rsidRDefault="000816CF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Методика расчета ключевых показателей </w:t>
      </w:r>
    </w:p>
    <w:p w:rsidR="00616D66" w:rsidRDefault="000816CF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lastRenderedPageBreak/>
        <w:t xml:space="preserve">эффективности функционирования антимонопольного </w:t>
      </w:r>
      <w:proofErr w:type="spellStart"/>
      <w:r>
        <w:rPr>
          <w:b/>
          <w:szCs w:val="26"/>
        </w:rPr>
        <w:t>комплаенса</w:t>
      </w:r>
      <w:proofErr w:type="spellEnd"/>
      <w:r>
        <w:rPr>
          <w:b/>
          <w:szCs w:val="26"/>
        </w:rPr>
        <w:t xml:space="preserve"> </w:t>
      </w:r>
    </w:p>
    <w:p w:rsidR="00616D66" w:rsidRDefault="000816CF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в администрации Арсеньевского </w:t>
      </w:r>
      <w:r>
        <w:rPr>
          <w:b/>
          <w:szCs w:val="26"/>
        </w:rPr>
        <w:t>городского округа</w:t>
      </w:r>
    </w:p>
    <w:p w:rsidR="00616D66" w:rsidRDefault="00616D66">
      <w:pPr>
        <w:widowControl/>
        <w:ind w:firstLine="0"/>
        <w:jc w:val="center"/>
        <w:outlineLvl w:val="0"/>
        <w:rPr>
          <w:szCs w:val="26"/>
        </w:rPr>
      </w:pPr>
    </w:p>
    <w:p w:rsidR="00616D66" w:rsidRDefault="000816CF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>I. Общие положения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 xml:space="preserve">1. Методика расчета ключевых показателей эффективности функционирования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в администрации Арсеньевского городского округа (далее - Методика) разработана в соответствии с Национальным планом развития конкуренции в Российской Федера</w:t>
      </w:r>
      <w:r>
        <w:rPr>
          <w:szCs w:val="26"/>
        </w:rPr>
        <w:t xml:space="preserve">ции на 2018 - 2020 годы (далее - Национальный план), утвержденным Указом Президента РФ от 21.12.2017 № 618 «Об основных направлениях государственной политики по развитию конкуренции», Методикой расчета ключевых показателей эффективности функционирования в </w:t>
      </w:r>
      <w:r>
        <w:rPr>
          <w:szCs w:val="26"/>
        </w:rPr>
        <w:t xml:space="preserve">федеральном органе исполнительной власти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, утвержденной приказом Федеральной антимонопольной службы России от 05.02.2019 № 133/19. 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 xml:space="preserve">2. В целях оценки эффективности функционирования в администрации Арсеньевского городского округа </w:t>
      </w:r>
      <w:r>
        <w:rPr>
          <w:szCs w:val="26"/>
        </w:rPr>
        <w:t xml:space="preserve">(далее – администрация)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(далее - КПЭ) для администрации.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II. Методика расчета КПЭ для администрации 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3. Ключевыми показате</w:t>
      </w:r>
      <w:r>
        <w:rPr>
          <w:szCs w:val="26"/>
        </w:rPr>
        <w:t xml:space="preserve">лями эффективности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для администрации являются: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а) 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б) доля проектов нормативных правовых актов адми</w:t>
      </w:r>
      <w:r>
        <w:rPr>
          <w:szCs w:val="26"/>
        </w:rPr>
        <w:t>нистрации, в которых выявлены риски нарушения антимонопольного законодательства;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в) доля нормативных правовых актов администрации, в которых выявлены риски нарушения антимонопольного законодательства.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lastRenderedPageBreak/>
        <w:t>4. Коэффициент снижения количества нарушений антимонопо</w:t>
      </w:r>
      <w:r>
        <w:rPr>
          <w:szCs w:val="26"/>
        </w:rPr>
        <w:t>льного законодательства со стороны администрации (по сравнению с 2017 годом) рассчитывается по формуле: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noProof/>
        </w:rPr>
        <w:drawing>
          <wp:inline distT="0" distB="0" distL="0" distR="0">
            <wp:extent cx="1247775" cy="50482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>, где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КН</w:t>
      </w:r>
      <w:r>
        <w:rPr>
          <w:szCs w:val="26"/>
          <w:vertAlign w:val="subscript"/>
        </w:rPr>
        <w:t>2017</w:t>
      </w:r>
      <w:r>
        <w:rPr>
          <w:szCs w:val="26"/>
        </w:rPr>
        <w:t xml:space="preserve"> - количество нарушений антимонопольного законодательства со стороны администрации в 2017 году;</w:t>
      </w:r>
    </w:p>
    <w:p w:rsidR="00616D66" w:rsidRDefault="00616D66">
      <w:pPr>
        <w:widowControl/>
        <w:ind w:firstLine="54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proofErr w:type="spellStart"/>
      <w:r>
        <w:rPr>
          <w:szCs w:val="26"/>
        </w:rPr>
        <w:t>КНоп</w:t>
      </w:r>
      <w:proofErr w:type="spellEnd"/>
      <w:r>
        <w:rPr>
          <w:szCs w:val="26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:rsidR="00616D66" w:rsidRDefault="00616D66">
      <w:pPr>
        <w:widowControl/>
        <w:ind w:firstLine="54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При расчете коэффициента снижения количества наруше</w:t>
      </w:r>
      <w:r>
        <w:rPr>
          <w:szCs w:val="26"/>
        </w:rPr>
        <w:t>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- возбужденные антимонопольным органом в отношении администрации антимонопольные дела;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- выданные антимоноп</w:t>
      </w:r>
      <w:r>
        <w:rPr>
          <w:szCs w:val="26"/>
        </w:rPr>
        <w:t>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</w:t>
      </w:r>
      <w:r>
        <w:rPr>
          <w:szCs w:val="26"/>
        </w:rPr>
        <w:t>го нарушения, и о принятии мер по устранению последствий такого нарушения;</w:t>
      </w: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5. Д</w:t>
      </w:r>
      <w:r>
        <w:rPr>
          <w:szCs w:val="26"/>
        </w:rPr>
        <w:t>оля проектов нормативных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noProof/>
        </w:rPr>
        <w:drawing>
          <wp:inline distT="0" distB="0" distL="0" distR="0">
            <wp:extent cx="1390650" cy="5048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>, где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proofErr w:type="spellStart"/>
      <w:r>
        <w:rPr>
          <w:szCs w:val="26"/>
        </w:rPr>
        <w:t>Дпнпа</w:t>
      </w:r>
      <w:proofErr w:type="spellEnd"/>
      <w:r>
        <w:rPr>
          <w:szCs w:val="26"/>
        </w:rPr>
        <w:t xml:space="preserve"> - доля проектов нормативных правовых актов администрации, в которых выявлены риски наруше</w:t>
      </w:r>
      <w:r>
        <w:rPr>
          <w:szCs w:val="26"/>
        </w:rPr>
        <w:t>ния антимонопольного законодательства;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proofErr w:type="spellStart"/>
      <w:r>
        <w:rPr>
          <w:szCs w:val="26"/>
        </w:rPr>
        <w:t>Кпнпа</w:t>
      </w:r>
      <w:proofErr w:type="spellEnd"/>
      <w:r>
        <w:rPr>
          <w:szCs w:val="26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proofErr w:type="spellStart"/>
      <w:r>
        <w:rPr>
          <w:szCs w:val="26"/>
        </w:rPr>
        <w:t>КНоп</w:t>
      </w:r>
      <w:proofErr w:type="spellEnd"/>
      <w:r>
        <w:rPr>
          <w:szCs w:val="26"/>
        </w:rPr>
        <w:t xml:space="preserve"> - количество нормативных правовых ак</w:t>
      </w:r>
      <w:r>
        <w:rPr>
          <w:szCs w:val="26"/>
        </w:rPr>
        <w:t>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6. Доля нормативных правовых актов администрации, в которых выявлены риски нарушения антимонопольного законодательства, рассчиты</w:t>
      </w:r>
      <w:r>
        <w:rPr>
          <w:szCs w:val="26"/>
        </w:rPr>
        <w:t>вается по формуле: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noProof/>
        </w:rPr>
        <w:drawing>
          <wp:inline distT="0" distB="0" distL="0" distR="0">
            <wp:extent cx="1228725" cy="50482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>, где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proofErr w:type="spellStart"/>
      <w:r>
        <w:rPr>
          <w:szCs w:val="26"/>
        </w:rPr>
        <w:t>Днпа</w:t>
      </w:r>
      <w:proofErr w:type="spellEnd"/>
      <w:r>
        <w:rPr>
          <w:szCs w:val="26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proofErr w:type="spellStart"/>
      <w:r>
        <w:rPr>
          <w:szCs w:val="26"/>
        </w:rPr>
        <w:t>Кпнпа</w:t>
      </w:r>
      <w:proofErr w:type="spellEnd"/>
      <w:r>
        <w:rPr>
          <w:szCs w:val="26"/>
        </w:rPr>
        <w:t xml:space="preserve"> - количество нормативных правовых актов администрации, в которых данным органом выявлены риски нар</w:t>
      </w:r>
      <w:r>
        <w:rPr>
          <w:szCs w:val="26"/>
        </w:rPr>
        <w:t>ушения антимонопольного законодательства (в отчетном периоде);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proofErr w:type="spellStart"/>
      <w:r>
        <w:rPr>
          <w:szCs w:val="26"/>
        </w:rPr>
        <w:t>КНоп</w:t>
      </w:r>
      <w:proofErr w:type="spellEnd"/>
      <w:r>
        <w:rPr>
          <w:szCs w:val="26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III. Оценка значений КПЭ для администрации </w:t>
      </w:r>
    </w:p>
    <w:p w:rsidR="00616D66" w:rsidRDefault="00616D66">
      <w:pPr>
        <w:widowControl/>
        <w:ind w:firstLine="0"/>
        <w:rPr>
          <w:szCs w:val="26"/>
        </w:rPr>
      </w:pPr>
    </w:p>
    <w:p w:rsidR="00616D66" w:rsidRDefault="000816CF">
      <w:pPr>
        <w:widowControl/>
        <w:ind w:firstLine="540"/>
        <w:rPr>
          <w:szCs w:val="26"/>
        </w:rPr>
      </w:pPr>
      <w:r>
        <w:rPr>
          <w:szCs w:val="26"/>
        </w:rPr>
        <w:t>7. 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616D66" w:rsidRDefault="000816CF">
      <w:pPr>
        <w:widowControl/>
        <w:ind w:firstLine="540"/>
      </w:pPr>
      <w:r>
        <w:rPr>
          <w:szCs w:val="26"/>
        </w:rPr>
        <w:t>Ключевой показатель «коэффициент снижения количества нар</w:t>
      </w:r>
      <w:r>
        <w:rPr>
          <w:szCs w:val="26"/>
        </w:rPr>
        <w:t xml:space="preserve">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</w:t>
      </w:r>
      <w:hyperlink r:id="rId12">
        <w:r>
          <w:rPr>
            <w:szCs w:val="26"/>
          </w:rPr>
          <w:t>подпунктом «б» пункта 1</w:t>
        </w:r>
      </w:hyperlink>
      <w:r>
        <w:rPr>
          <w:szCs w:val="26"/>
        </w:rPr>
        <w:t xml:space="preserve"> Национального плана, а именно: «снижение количества нарушений антимонопольного законодательства со стороны органов государственной власти и органов местного самоуп</w:t>
      </w:r>
      <w:r>
        <w:rPr>
          <w:szCs w:val="26"/>
        </w:rPr>
        <w:t>равления к 2020 году не менее чем в 2 раза по сравнению с 2017 годом».</w:t>
      </w:r>
    </w:p>
    <w:p w:rsidR="00616D66" w:rsidRDefault="000816CF">
      <w:pPr>
        <w:widowControl/>
        <w:ind w:firstLine="540"/>
      </w:pPr>
      <w:r>
        <w:rPr>
          <w:szCs w:val="26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(по сравнению с 2017 годом)» призвана обеспечить пони</w:t>
      </w:r>
      <w:r>
        <w:rPr>
          <w:szCs w:val="26"/>
        </w:rPr>
        <w:t xml:space="preserve">мание об эффективности функционирования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в администрации и о соответствии мероприятий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администрации направлениям совершенствования государственной политики по развитию конкуренции, установленных Национ</w:t>
      </w:r>
      <w:r>
        <w:rPr>
          <w:szCs w:val="26"/>
        </w:rPr>
        <w:t xml:space="preserve">альным </w:t>
      </w:r>
      <w:hyperlink r:id="rId13">
        <w:r>
          <w:rPr>
            <w:szCs w:val="26"/>
          </w:rPr>
          <w:t>планом</w:t>
        </w:r>
      </w:hyperlink>
      <w:r>
        <w:rPr>
          <w:szCs w:val="26"/>
        </w:rPr>
        <w:t>.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8. Оценка значений КПЭ «доля проектов нормативных правовых актов администра</w:t>
      </w:r>
      <w:r>
        <w:rPr>
          <w:szCs w:val="26"/>
        </w:rPr>
        <w:t>ции, в которых выявлены риски нарушения антимонопольного законодательства» и «доля нормативных правовых актов администрации, в которых выявлены риски нарушения антимонопольного законодательства».</w:t>
      </w:r>
    </w:p>
    <w:p w:rsidR="00616D66" w:rsidRDefault="000816CF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При эффективном проведении мероприятий по анализу нормативны</w:t>
      </w:r>
      <w:r>
        <w:rPr>
          <w:szCs w:val="26"/>
        </w:rPr>
        <w:t>х правовых актов администрации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администрации, в отноше</w:t>
      </w:r>
      <w:r>
        <w:rPr>
          <w:szCs w:val="26"/>
        </w:rPr>
        <w:t xml:space="preserve">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будут осуществляться</w:t>
      </w:r>
      <w:r>
        <w:rPr>
          <w:szCs w:val="26"/>
        </w:rPr>
        <w:t xml:space="preserve"> уполномоченным подразделением. И наоборот, при невысоком значении долей </w:t>
      </w:r>
      <w:r>
        <w:rPr>
          <w:szCs w:val="26"/>
        </w:rPr>
        <w:lastRenderedPageBreak/>
        <w:t>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</w:t>
      </w:r>
      <w:r>
        <w:rPr>
          <w:szCs w:val="26"/>
        </w:rPr>
        <w:t>тель), низкие значения КПЭ будут свидетельствовать о низкой эффективности данных мероприятий.»</w:t>
      </w:r>
    </w:p>
    <w:p w:rsidR="00616D66" w:rsidRDefault="000816CF">
      <w:pPr>
        <w:tabs>
          <w:tab w:val="left" w:pos="8041"/>
        </w:tabs>
        <w:ind w:firstLine="0"/>
      </w:pPr>
      <w:r>
        <w:rPr>
          <w:szCs w:val="26"/>
        </w:rPr>
        <w:t xml:space="preserve">                                        _______________________________________</w:t>
      </w:r>
    </w:p>
    <w:sectPr w:rsidR="00616D66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16CF">
      <w:r>
        <w:separator/>
      </w:r>
    </w:p>
  </w:endnote>
  <w:endnote w:type="continuationSeparator" w:id="0">
    <w:p w:rsidR="00000000" w:rsidRDefault="000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16CF">
      <w:r>
        <w:separator/>
      </w:r>
    </w:p>
  </w:footnote>
  <w:footnote w:type="continuationSeparator" w:id="0">
    <w:p w:rsidR="00000000" w:rsidRDefault="0008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66" w:rsidRDefault="00616D66">
    <w:pPr>
      <w:pStyle w:val="a9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66"/>
    <w:rsid w:val="000816CF"/>
    <w:rsid w:val="006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AA90"/>
  <w15:docId w15:val="{2EE2D3D3-EBD8-41CB-BB14-B87AE3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F323AA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F323AA"/>
    <w:rPr>
      <w:sz w:val="26"/>
      <w:szCs w:val="26"/>
      <w:lang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F323AA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F323AA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EBF464FBA4B1B533B00EB685B83C4153B4C639E0A3CF2C4AADE7BB6212684D977E4DDD072381AB75D4075AF18CE0DBACDFEC7BA7ABCD28I8k6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2EBF464FBA4B1B533B00EB685B83C4153B4C639E0A3CF2C4AADE7BB6212684D977E4DDD072381A872D4075AF18CE0DBACDFEC7BA7ABCD28I8k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18A0-5ACF-48CB-9FA3-B6891B3A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1329</Words>
  <Characters>7577</Characters>
  <Application>Microsoft Office Word</Application>
  <DocSecurity>0</DocSecurity>
  <Lines>63</Lines>
  <Paragraphs>17</Paragraphs>
  <ScaleCrop>false</ScaleCrop>
  <Company>oem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36</cp:revision>
  <cp:lastPrinted>2020-08-27T09:39:00Z</cp:lastPrinted>
  <dcterms:created xsi:type="dcterms:W3CDTF">2020-08-25T09:06:00Z</dcterms:created>
  <dcterms:modified xsi:type="dcterms:W3CDTF">2020-08-27T06:42:00Z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