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05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АДМИНИСТРАЦИЯ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АРСЕНЬЕВСКОГО ГОРОДСКОГО ОКРУГА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 О С Т А Н О В Л Е Н И Е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4"/>
        <w:gridCol w:w="1893"/>
        <w:gridCol w:w="334"/>
        <w:gridCol w:w="4683"/>
        <w:gridCol w:w="501"/>
        <w:gridCol w:w="1170"/>
      </w:tblGrid>
      <w:tr w:rsidR="008A5725" w:rsidRPr="008A5725" w:rsidTr="00D72610">
        <w:trPr>
          <w:trHeight w:val="299"/>
        </w:trPr>
        <w:tc>
          <w:tcPr>
            <w:tcW w:w="26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93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DB1A03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 июля 2022 г.</w:t>
            </w:r>
          </w:p>
        </w:tc>
        <w:tc>
          <w:tcPr>
            <w:tcW w:w="33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4683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г</w:t>
            </w:r>
            <w:r w:rsidRPr="008A572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="00D726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Арсеньев</w:t>
            </w:r>
          </w:p>
        </w:tc>
        <w:tc>
          <w:tcPr>
            <w:tcW w:w="501" w:type="dxa"/>
            <w:shd w:val="clear" w:color="auto" w:fill="auto"/>
          </w:tcPr>
          <w:p w:rsidR="008A5725" w:rsidRPr="008A5725" w:rsidRDefault="008A5725" w:rsidP="00D7261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DB1A03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440-па</w:t>
            </w:r>
          </w:p>
        </w:tc>
      </w:tr>
    </w:tbl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 создании комиссии по проведению мониторинга технического состояния многоквартирных домов, расположенных на территории 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Жилищным кодексом Российской Федерации, Федеральным законом </w:t>
      </w:r>
      <w:r w:rsidR="009A2D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Российской Федерации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06 октября 2003 года № 131-ФЗ «Об общих принципах организации местного самоуправления в Российской Федерации», Законом Приморского края от 07 августа 2013 года № 227-КЗ «О системе капитального ремонта многоквартирных домов в Приморском крае»,  постановлением администрации Приморского края от 20 августа 2013 года </w:t>
      </w:r>
      <w:r w:rsidR="00D726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324-па «Об утверждении порядка проведения мониторинга технического состояния многоквартирных домов, расположенных на территории Приморского края», </w:t>
      </w:r>
      <w:r w:rsidR="009A2D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Уставом Арсеньевского городского округа, администрация </w:t>
      </w:r>
      <w:r w:rsidR="00F12D23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Создать комиссию по проведению мониторинга технического состояния мно</w:t>
      </w:r>
      <w:r w:rsidR="00D72610">
        <w:rPr>
          <w:rFonts w:ascii="Times New Roman" w:eastAsia="Times New Roman" w:hAnsi="Times New Roman" w:cs="Times New Roman"/>
          <w:sz w:val="26"/>
          <w:szCs w:val="26"/>
          <w:lang w:eastAsia="zh-CN"/>
        </w:rPr>
        <w:t>го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квартирных домов, расположенных на территории Арсеньевского городского округа (далее – Комиссия).</w:t>
      </w:r>
    </w:p>
    <w:p w:rsidR="008A5725" w:rsidRPr="008A5725" w:rsidRDefault="008A5725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="00FA1C57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Утвердить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прилагаемые:</w:t>
      </w:r>
      <w:r w:rsidR="00FA1C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8A5725" w:rsidRPr="008A5725" w:rsidRDefault="008A5725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С</w:t>
      </w:r>
      <w:r w:rsidR="00E913D9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остав Комиссии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8A5725" w:rsidRDefault="00BB350F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П</w:t>
      </w:r>
      <w:r w:rsidR="00E913D9">
        <w:rPr>
          <w:rFonts w:ascii="Times New Roman" w:eastAsia="Times New Roman" w:hAnsi="Times New Roman" w:cs="Times New Roman"/>
          <w:sz w:val="26"/>
          <w:szCs w:val="26"/>
          <w:lang w:eastAsia="zh-CN"/>
        </w:rPr>
        <w:t>орядок работы</w:t>
      </w:r>
      <w:r w:rsidR="00A11DB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Комиссии</w:t>
      </w:r>
      <w:r w:rsidR="00E913D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</w:t>
      </w:r>
    </w:p>
    <w:p w:rsidR="009A2D47" w:rsidRPr="008A5725" w:rsidRDefault="009A2D47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</w:t>
      </w:r>
      <w:r w:rsidR="00D726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утратившим силу постановление администрации Арсеньевского </w:t>
      </w:r>
      <w:r w:rsidR="00D72610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городского округа от 24 апреля 2014 года № 328-па «О создании постоянно действующей комиссии по проведению мониторинга технического состояния многоквартирных домов, расположенных на территории Арсеньевского городского округа».</w:t>
      </w:r>
    </w:p>
    <w:p w:rsidR="008A5725" w:rsidRPr="008A5725" w:rsidRDefault="009A2D47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Организационному управлению администрации Арсеньевского городского округа (Абрамова)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обеспечить опубликование и размещение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официальном сайте администрации Арсеньевского городского округа.</w:t>
      </w:r>
    </w:p>
    <w:p w:rsidR="008A5725" w:rsidRPr="008A5725" w:rsidRDefault="008A5725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5. 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е постановление вступает в силу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после его официального опубликования.</w:t>
      </w:r>
    </w:p>
    <w:p w:rsidR="008A5725" w:rsidRPr="008A5725" w:rsidRDefault="008A5725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6.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Контроль за исполнением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настоящего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постановления оставлю за собой.     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9251F9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городского округа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В.С. Пивень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B186E" w:rsidRDefault="008A5725" w:rsidP="00D7261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A11DBF" w:rsidRDefault="004B186E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</w:t>
      </w:r>
    </w:p>
    <w:p w:rsidR="00A11DBF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DBF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постановлением администрации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DB1A03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июля 2022 г.</w:t>
      </w:r>
      <w:r w:rsidR="00DB1A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DB1A0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B1A03"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440-па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DBF" w:rsidRPr="00BB350F" w:rsidRDefault="00A11DBF" w:rsidP="00A11DB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Состав </w:t>
      </w:r>
      <w:r w:rsidR="008A5725"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комиссии по проведению мониторинга технического состояния многоквартирных домов, расположенных на территории </w:t>
      </w:r>
    </w:p>
    <w:p w:rsidR="008A5725" w:rsidRPr="00BB350F" w:rsidRDefault="008A5725" w:rsidP="00A11DB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</w:t>
      </w:r>
      <w:r w:rsidR="009A2D47"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</w:t>
      </w:r>
      <w:r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ньевского городского округа</w:t>
      </w:r>
    </w:p>
    <w:p w:rsidR="008A5725" w:rsidRPr="008A5725" w:rsidRDefault="008A5725" w:rsidP="008A57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Default="008A5725" w:rsidP="008A57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4409D" w:rsidRDefault="0014409D" w:rsidP="008A57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b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2"/>
      </w:tblGrid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Пивень Владимир Сергеевич</w:t>
            </w:r>
          </w:p>
        </w:tc>
        <w:tc>
          <w:tcPr>
            <w:tcW w:w="5522" w:type="dxa"/>
          </w:tcPr>
          <w:p w:rsidR="00BB350F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Глава Арсеньевского городского округа,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Default="00BB350F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Богомолов Евгений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  <w:p w:rsidR="00922A18" w:rsidRDefault="00922A18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A18" w:rsidRDefault="00922A18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A18" w:rsidRDefault="00922A18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A18" w:rsidRPr="00D8101E" w:rsidRDefault="00922A18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Москальчук Алина Александровна    </w:t>
            </w:r>
          </w:p>
        </w:tc>
        <w:tc>
          <w:tcPr>
            <w:tcW w:w="5522" w:type="dxa"/>
          </w:tcPr>
          <w:p w:rsidR="00BB350F" w:rsidRDefault="00BB350F" w:rsidP="00BB350F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22A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администрации Арсеньевского городского округа, за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>меститель председателя комиссии;</w:t>
            </w:r>
          </w:p>
          <w:p w:rsidR="00922A18" w:rsidRDefault="00922A18" w:rsidP="00BB350F">
            <w:pPr>
              <w:ind w:right="16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A18" w:rsidRPr="00922A18" w:rsidRDefault="00922A18" w:rsidP="00BB350F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1 разряда отдела жилищного хозяйства управления жизнеобеспечения администрации Арсеньевского городского округа, секретарь комиссии;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922A18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Гулак Галина Викторовна</w:t>
            </w:r>
          </w:p>
        </w:tc>
        <w:tc>
          <w:tcPr>
            <w:tcW w:w="5522" w:type="dxa"/>
          </w:tcPr>
          <w:p w:rsidR="00BB350F" w:rsidRPr="00D8101E" w:rsidRDefault="00BB350F" w:rsidP="00922A18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>управления архитектуры и градостроительства администрации Арсеньевского городского округа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922A18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Корчагин Борис Сергеевич</w:t>
            </w:r>
          </w:p>
        </w:tc>
        <w:tc>
          <w:tcPr>
            <w:tcW w:w="5522" w:type="dxa"/>
          </w:tcPr>
          <w:p w:rsidR="00BB350F" w:rsidRPr="00D8101E" w:rsidRDefault="00922A18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муниципального жилищного контроля управления жизнеобеспечения администрации Арсеньевского городского округа;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922A18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Чернышева Елена Анатольевна</w:t>
            </w:r>
          </w:p>
        </w:tc>
        <w:tc>
          <w:tcPr>
            <w:tcW w:w="5522" w:type="dxa"/>
          </w:tcPr>
          <w:p w:rsidR="00BB350F" w:rsidRPr="00D8101E" w:rsidRDefault="00922A18" w:rsidP="00922A18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-начальник отдела жилищного хозяйства управления жизнеобеспечения администрации Арсеньевского городского округа;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922A18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Управляющей организации, ТСЖ, ТСН,ЖК, ЖСК, Совета многоквартирного дома</w:t>
            </w:r>
          </w:p>
        </w:tc>
        <w:tc>
          <w:tcPr>
            <w:tcW w:w="5522" w:type="dxa"/>
          </w:tcPr>
          <w:p w:rsidR="00BB350F" w:rsidRPr="00D8101E" w:rsidRDefault="00922A18" w:rsidP="00922A18">
            <w:pPr>
              <w:ind w:right="169" w:hanging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согласованию.</w:t>
            </w:r>
          </w:p>
        </w:tc>
      </w:tr>
    </w:tbl>
    <w:p w:rsidR="00BB350F" w:rsidRDefault="00BB350F" w:rsidP="008A57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B350F" w:rsidRDefault="00BB350F" w:rsidP="00922A18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4449E" w:rsidRDefault="0054449E" w:rsidP="00922A18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3C36" w:rsidRPr="00FE3C36" w:rsidRDefault="00FE3C36" w:rsidP="00FE3C3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УТВЕРЖДЕН</w:t>
      </w:r>
    </w:p>
    <w:p w:rsidR="00FE3C36" w:rsidRPr="00FE3C36" w:rsidRDefault="00FE3C36" w:rsidP="00FE3C3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постановлением администрации</w:t>
      </w:r>
    </w:p>
    <w:p w:rsidR="00FE3C36" w:rsidRPr="00FE3C36" w:rsidRDefault="00FE3C36" w:rsidP="00FE3C36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Арсеньевского городского округа</w:t>
      </w:r>
    </w:p>
    <w:p w:rsidR="00DB1A03" w:rsidRPr="008A5725" w:rsidRDefault="00DB1A03" w:rsidP="00DB1A03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28 июля 2022 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zh-CN"/>
        </w:rPr>
        <w:t>440-па</w:t>
      </w: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76125" w:rsidRPr="00922A18" w:rsidRDefault="00C76125" w:rsidP="00C761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922A1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Порядок работы комиссии по рассмотрению результатов мониторинга технического состояния многоквартирных домов, расположенных на территории Арсеньевского городского округа</w:t>
      </w: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left="1778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left="1069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FE3C36" w:rsidRPr="00FE3C36" w:rsidRDefault="0046031B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>1. Порядок работы комиссии по рассмотрению результатов мониторинга технического состояния многоквартирных домов, расположенных на территории Арсеньевского городского округа (далее соответственно – Порядок, Комиссия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, МКД</w:t>
      </w:r>
      <w:r w:rsidRP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>), разработан в соответствии с Жилищным кодексом Российской Федерации, Законом Приморского края от 7 августа 2013 года № 227-КЗ «О системе капитального ремонта многоквартирных домов в Приморском крае», постановлением Администрации Приморского края от 20 августа 2013 № 324-па «Об утверждении порядка проведения мониторинга технического состояния многоквартирных домов, расположенных на территории Приморского края» (далее – Постановление № 324).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 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привлекаем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ые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собственниками помещений на основании договора для проведения строительно-технической экспертизы, или ответственны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е лица, являющиеся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должностными лицами органов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 или управляющ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ая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организаци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а при непосредственном управлении 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МКД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 лиц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, оказывающ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ие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услуги и (или) выполняющ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ее работы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(далее 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уполномоченные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лица</w:t>
      </w:r>
      <w:r w:rsidR="00C76125" w:rsidRP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  <w:r w:rsidR="00C76125" w:rsidRPr="003072F2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проводят плановые осмотры</w:t>
      </w:r>
      <w:r w:rsidR="00C761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всего общего имущества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МКД два раза в год:</w:t>
      </w: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46031B" w:rsidRP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>весенний осмотр проводится после таяния снега или окончания отопительного периода в целях выявления произошедших в течение зимнего перио</w:t>
      </w:r>
      <w:r w:rsid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>да повреждений общего имущества,</w:t>
      </w:r>
      <w:r w:rsidR="0046031B" w:rsidRP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46031B" w:rsidRP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>ри этом уточняются объемы работ по текущему ремонту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927A72" w:rsidRDefault="00FE3C36" w:rsidP="00927A72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46031B" w:rsidRPr="0046031B">
        <w:rPr>
          <w:rFonts w:ascii="Times New Roman" w:eastAsia="Times New Roman" w:hAnsi="Times New Roman" w:cs="Times New Roman"/>
          <w:sz w:val="26"/>
          <w:szCs w:val="26"/>
          <w:lang w:eastAsia="zh-CN"/>
        </w:rPr>
        <w:t>осенний осмотр проводится до наступления отопительного периода в целях проверки готовности многоквартирного дома к эксплуатации в отопительный период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E3C36" w:rsidRPr="00295C95" w:rsidRDefault="00927A72" w:rsidP="00927A72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3.</w:t>
      </w:r>
      <w:r w:rsidR="00FE3C36"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Плановые осмотры МКД проводятся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ежегодно</w:t>
      </w:r>
      <w:r w:rsidR="00FE3C36"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следующие сроки:</w:t>
      </w:r>
    </w:p>
    <w:p w:rsidR="00FE3C36" w:rsidRPr="00295C95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весенние осмотры </w:t>
      </w:r>
      <w:r w:rsidR="00295C95"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срок </w:t>
      </w:r>
      <w:r w:rsid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>до 15</w:t>
      </w:r>
      <w:r w:rsidR="00295C95"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апреля</w:t>
      </w:r>
      <w:r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осенние осмотры </w:t>
      </w:r>
      <w:r w:rsidR="009654F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в срок до 10</w:t>
      </w:r>
      <w:r w:rsidR="00295C95" w:rsidRPr="00295C95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сентября</w:t>
      </w:r>
      <w:r w:rsidRP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25C09" w:rsidRPr="00295C95" w:rsidRDefault="00E25C09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zh-CN"/>
        </w:rPr>
      </w:pPr>
      <w:r w:rsidRPr="00E25C09">
        <w:rPr>
          <w:rFonts w:ascii="Times New Roman" w:eastAsia="Times New Roman" w:hAnsi="Times New Roman" w:cs="Times New Roman"/>
          <w:sz w:val="26"/>
          <w:szCs w:val="26"/>
          <w:lang w:eastAsia="zh-CN"/>
        </w:rPr>
        <w:t>Результаты осмотра общего имущества оформляются актом осмотра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E3C36" w:rsidRPr="00FE3C36" w:rsidRDefault="00927A72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менее чем за пять рабочих дней, до даты проведения плановых осмотров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МКД уполномоченные лица направляют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700F52" w:rsidRP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отдел жилищного хозяйства управления жизнеобеспечения администрации Арсеньевского городского округа</w:t>
      </w:r>
      <w:r w:rsidR="00671B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71B3B" w:rsidRP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администрация)</w:t>
      </w:r>
      <w:r w:rsidR="00700F52" w:rsidRP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адресу: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00F52" w:rsidRP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г. Арсень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ев, ул. Ленинская, 8, каб. 218 или по электронной почте: </w:t>
      </w:r>
      <w:hyperlink r:id="rId8" w:history="1">
        <w:r w:rsidR="00700F52" w:rsidRPr="00922A18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lang w:eastAsia="zh-CN"/>
          </w:rPr>
          <w:t>mkd@ars.town</w:t>
        </w:r>
      </w:hyperlink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информацию о </w:t>
      </w:r>
      <w:r w:rsidR="00700F52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дат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="00700F52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, врем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ени и месте проведения таких</w:t>
      </w:r>
      <w:r w:rsidR="00700F52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осмотр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ов для участия </w:t>
      </w:r>
      <w:r w:rsidR="00922A18">
        <w:rPr>
          <w:rFonts w:ascii="Times New Roman" w:eastAsia="Times New Roman" w:hAnsi="Times New Roman" w:cs="Times New Roman"/>
          <w:sz w:val="26"/>
          <w:szCs w:val="26"/>
          <w:lang w:eastAsia="zh-CN"/>
        </w:rPr>
        <w:t>в проведении</w:t>
      </w:r>
      <w:r w:rsidR="00FE3C36" w:rsidRP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осмотров 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="00FE3C36" w:rsidRP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редставителя администрации</w:t>
      </w:r>
      <w:r w:rsidR="00295C95" w:rsidRP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700F5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FE3C36" w:rsidRPr="00FE3C36" w:rsidRDefault="00927A72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. Уполномоченные лица предоставляют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>К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омиссию акты осмотров, составленные в соответствии с пунктом 2 Порядка</w:t>
      </w:r>
      <w:r w:rsidR="00497D79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следующие 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срок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акты 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весеннего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осмотра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95C95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ежегодно 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до 2</w:t>
      </w:r>
      <w:r w:rsid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апреля;</w:t>
      </w: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акты 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осеннего</w:t>
      </w:r>
      <w:r w:rsidR="00295C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осмотра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95C95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ежегодно </w:t>
      </w:r>
      <w:r w:rsid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>до 20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сентября.</w:t>
      </w:r>
    </w:p>
    <w:p w:rsidR="00FE3C36" w:rsidRPr="009654FC" w:rsidRDefault="00295C95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>Вместе</w:t>
      </w:r>
      <w:r w:rsidR="00D62DF9"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 актами осмотра уполномоченные лица</w:t>
      </w:r>
      <w:r w:rsidR="00FE3C36"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62DF9"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предоставляют</w:t>
      </w:r>
      <w:r w:rsidR="00FE3C36"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Комиссию</w:t>
      </w:r>
      <w:r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информацию о</w:t>
      </w:r>
      <w:r w:rsidR="00FE3C36"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мероприятия</w:t>
      </w:r>
      <w:r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>х, выполненных</w:t>
      </w:r>
      <w:r w:rsidR="00FE3C36"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трехлетний период, предшествующий году подачи заявки на включение в соответствующий список по тем конструктивным элементам, на которые делается акцент в необходимости проведения капитального ремонта.</w:t>
      </w:r>
    </w:p>
    <w:p w:rsidR="00FE3C36" w:rsidRPr="00FE3C36" w:rsidRDefault="00927A72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.  Секретарь Комиссии ведет приемку актов осмотров, которые уполномоченные лица предоставляют</w:t>
      </w:r>
      <w:r w:rsidR="00671B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71B3B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бумажном носителе </w:t>
      </w:r>
      <w:r w:rsidR="00671B3B">
        <w:rPr>
          <w:rFonts w:ascii="Times New Roman" w:eastAsia="Times New Roman" w:hAnsi="Times New Roman" w:cs="Times New Roman"/>
          <w:sz w:val="26"/>
          <w:szCs w:val="26"/>
          <w:lang w:eastAsia="zh-CN"/>
        </w:rPr>
        <w:t>в администрацию</w:t>
      </w:r>
      <w:r w:rsidR="00FE3C36"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адресу: г. Арсеньев, ул. Ленинская, 8, каб. 218.</w:t>
      </w:r>
    </w:p>
    <w:p w:rsidR="00FE3C36" w:rsidRPr="00FE3C36" w:rsidRDefault="00D62DF9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 результатам приемки актов осмотра с</w:t>
      </w:r>
      <w:r w:rsidR="00497D79">
        <w:rPr>
          <w:rFonts w:ascii="Times New Roman" w:eastAsia="Times New Roman" w:hAnsi="Times New Roman" w:cs="Times New Roman"/>
          <w:sz w:val="26"/>
          <w:szCs w:val="26"/>
          <w:lang w:eastAsia="zh-CN"/>
        </w:rPr>
        <w:t>екретарь Комиссии</w:t>
      </w:r>
      <w:r w:rsidR="00497D79" w:rsidRPr="00497D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ведет соответствующий рее</w:t>
      </w:r>
      <w:r w:rsidR="00922A18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 актов осмотра (приложение</w:t>
      </w:r>
      <w:r w:rsidR="00497D79" w:rsidRPr="00497D7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настоящему Порядку).</w:t>
      </w:r>
    </w:p>
    <w:p w:rsidR="00497D79" w:rsidRPr="00FE3C36" w:rsidRDefault="00497D79" w:rsidP="00497D79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В течение 10 календарных дней после завершения приемки от уполномоченных лиц актов осмотров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секретарь Комиссии направляет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информацию </w:t>
      </w:r>
      <w:r w:rsid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о предоставленных актах осмотра для рассмотрения на заседании Комиссии</w:t>
      </w:r>
      <w:r w:rsidRPr="00FE3C3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E3C36" w:rsidRPr="00FE3C36" w:rsidRDefault="00927A72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В случае выявления МКД, по которым уполномоченным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информация, в соответствии с насто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ящим Порядком, не предоставлена, 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либо осмотры МКД не проводились, 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Комиссия вправе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пров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ести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осмотр таких МКД самостоятельно, с привлечением уполномоченн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ых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лиц, котор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ым не менее, чем за 10 рабочих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дней до 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даты 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начала осмотра направляется соответствующее уведомление, содержащее дату, время и место 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осмотр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="00FE3C36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E3C36" w:rsidRPr="00FE3C36" w:rsidRDefault="00FE3C36" w:rsidP="00FE3C36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Секретарь Комиссии 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уведомляет членов К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омиссии о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дат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>е,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времени</w:t>
      </w:r>
      <w:r w:rsidR="00D62D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месте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проведения осмотра каждого МКД, акты обследования по которым уполномоченным</w:t>
      </w:r>
      <w:r w:rsidR="00AE0234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</w:t>
      </w:r>
      <w:r w:rsidR="00AE0234">
        <w:rPr>
          <w:rFonts w:ascii="Times New Roman" w:eastAsia="Times New Roman" w:hAnsi="Times New Roman" w:cs="Times New Roman"/>
          <w:sz w:val="26"/>
          <w:szCs w:val="26"/>
          <w:lang w:eastAsia="zh-CN"/>
        </w:rPr>
        <w:t>ами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были своевременно предоставлены, либо </w:t>
      </w:r>
      <w:r w:rsidR="00922A18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осмотры,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которым не проводились, не менее чем за три дня до даты начала осмотра.</w:t>
      </w:r>
    </w:p>
    <w:p w:rsidR="00745240" w:rsidRPr="00745240" w:rsidRDefault="00927A72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Основой работы Комиссии являются ее заседания, которые проводятся по мере необходимости, но не реже 1 раза в полугодие.</w:t>
      </w:r>
    </w:p>
    <w:p w:rsidR="00745240" w:rsidRPr="00745240" w:rsidRDefault="00927A72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 Заседание Комиссии считается правомочным, если на нем присутствует не менее половины ее членов. Каждый член Комиссии имеет один голос.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Члены Комиссии принимают участие в заседаниях лично. В случае отсутствия члена Комиссии на заседании его имеет право замещать заместитель.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Решения Комиссии принимаются простым большинством голосов присутствующих на заседании членов Комиссии. В случае равенства голосов, решающим является голос председательствующего на заседании Комиссии.</w:t>
      </w:r>
    </w:p>
    <w:p w:rsidR="00745240" w:rsidRPr="00745240" w:rsidRDefault="00927A72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 В обязанности Комиссии входит: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проверка полноты заполнения актов осмотров МКД;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проверка выполнения уполномоченными лицами обязательных требований, предусмотренных Порядком;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проведение осмотров МКД в порядке и по основ</w:t>
      </w:r>
      <w:r w:rsidR="00927A72">
        <w:rPr>
          <w:rFonts w:ascii="Times New Roman" w:eastAsia="Times New Roman" w:hAnsi="Times New Roman" w:cs="Times New Roman"/>
          <w:sz w:val="26"/>
          <w:szCs w:val="26"/>
          <w:lang w:eastAsia="zh-CN"/>
        </w:rPr>
        <w:t>аниям, предусмотренным</w:t>
      </w: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</w:t>
      </w:r>
      <w:r w:rsidR="00927A72">
        <w:rPr>
          <w:rFonts w:ascii="Times New Roman" w:eastAsia="Times New Roman" w:hAnsi="Times New Roman" w:cs="Times New Roman"/>
          <w:sz w:val="26"/>
          <w:szCs w:val="26"/>
          <w:lang w:eastAsia="zh-CN"/>
        </w:rPr>
        <w:t>им</w:t>
      </w: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Порядк</w:t>
      </w:r>
      <w:r w:rsidR="00927A72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составление и ведение реестров актов осмотра МКД.</w:t>
      </w:r>
    </w:p>
    <w:p w:rsidR="00745240" w:rsidRPr="00745240" w:rsidRDefault="00927A72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 Комиссия имеет право: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запрашивать у уполномоченных лиц необходимую информацию, в том числе документы, подтверждающие осмотр МКД;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требовать от уполномоченных лиц выполнения мероприятий, относящихся к сфере деятельности Комиссии;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при наличии замечаний к выполнению требований по подготовке актов осмотров МКД, составленных уполномоченными лицами, направлять в их адрес перечень замечаний с</w:t>
      </w:r>
      <w:r w:rsidR="00AE0234" w:rsidRPr="009654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указанием сроков их устранения;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привлекать специалистов сторонних организаций, а также экспертов, имеющих лицензию на составление экспертных заключений.</w:t>
      </w:r>
    </w:p>
    <w:p w:rsidR="00745240" w:rsidRPr="00745240" w:rsidRDefault="00927A72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12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 Председатель Комиссии: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возглавляет работу Комиссии;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руководит деятельностью Комиссии;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утверждает повестку заседания Комиссии;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подписывает протоколы заседания Комиссии;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организует контроль исполнения решений Комиссии.</w:t>
      </w:r>
    </w:p>
    <w:p w:rsidR="00745240" w:rsidRPr="00745240" w:rsidRDefault="00927A72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13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При отсутствии председателя Комиссии его функции выполняет заместитель председателя Комиссии.</w:t>
      </w:r>
    </w:p>
    <w:p w:rsidR="00745240" w:rsidRPr="00745240" w:rsidRDefault="00927A72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 Секретарь Комиссии: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обеспечивает подготовку материалов к заседанию Комиссии;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оповещает членов Комиссии о проведении заседания Комиссии не позднее, чем за двое суток до начала заседания;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доводит до членов Комиссии материалы, предоставленные уполномоченным лицом;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обобщает полученные результаты осмотров МКД и выявляет МКД, по которым уполномоченным лицом информация в соответствии с настоящим Порядком не предоставлена, либо осмотры МКД не проводились, акт осмотра МКД и (или) заключение (вывод) технических осмотров не составлялись;</w:t>
      </w:r>
    </w:p>
    <w:p w:rsidR="00745240" w:rsidRPr="00745240" w:rsidRDefault="00745240" w:rsidP="00745240">
      <w:pPr>
        <w:widowControl w:val="0"/>
        <w:tabs>
          <w:tab w:val="left" w:pos="3990"/>
        </w:tabs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- ведет протокол заседания Комиссии.</w:t>
      </w:r>
    </w:p>
    <w:p w:rsidR="00745240" w:rsidRPr="00745240" w:rsidRDefault="00927A72" w:rsidP="007452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  <w:sectPr w:rsidR="00745240" w:rsidRPr="00745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  <w:r w:rsidR="00745240" w:rsidRPr="00745240">
        <w:rPr>
          <w:rFonts w:ascii="Times New Roman" w:eastAsia="Times New Roman" w:hAnsi="Times New Roman" w:cs="Times New Roman"/>
          <w:sz w:val="26"/>
          <w:szCs w:val="26"/>
          <w:lang w:eastAsia="zh-CN"/>
        </w:rPr>
        <w:t>. Решения Комиссии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D2446B" w:rsidRDefault="00D2446B" w:rsidP="00D2446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</w:t>
      </w:r>
      <w:r w:rsidR="00A05B8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22A18">
        <w:rPr>
          <w:rFonts w:ascii="Times New Roman" w:hAnsi="Times New Roman" w:cs="Times New Roman"/>
          <w:sz w:val="26"/>
          <w:szCs w:val="26"/>
        </w:rPr>
        <w:t xml:space="preserve">        </w:t>
      </w:r>
      <w:r w:rsidR="00A05B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DD3853">
        <w:rPr>
          <w:rFonts w:ascii="Times New Roman" w:hAnsi="Times New Roman" w:cs="Times New Roman"/>
          <w:sz w:val="26"/>
          <w:szCs w:val="26"/>
        </w:rPr>
        <w:t>риложение</w:t>
      </w:r>
    </w:p>
    <w:p w:rsidR="00D2446B" w:rsidRDefault="00A05B8B" w:rsidP="00A05B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D2446B">
        <w:rPr>
          <w:rFonts w:ascii="Times New Roman" w:hAnsi="Times New Roman" w:cs="Times New Roman"/>
          <w:sz w:val="26"/>
          <w:szCs w:val="26"/>
        </w:rPr>
        <w:t xml:space="preserve">к Порядку работы комиссии </w:t>
      </w:r>
    </w:p>
    <w:p w:rsidR="00D2446B" w:rsidRDefault="00A05B8B" w:rsidP="00A05B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 w:rsidR="00D2446B">
        <w:rPr>
          <w:rFonts w:ascii="Times New Roman" w:hAnsi="Times New Roman" w:cs="Times New Roman"/>
          <w:sz w:val="26"/>
          <w:szCs w:val="26"/>
        </w:rPr>
        <w:t xml:space="preserve">по рассмотрению результатов </w:t>
      </w:r>
    </w:p>
    <w:p w:rsidR="00D2446B" w:rsidRDefault="00A05B8B" w:rsidP="00A05B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D2446B">
        <w:rPr>
          <w:rFonts w:ascii="Times New Roman" w:hAnsi="Times New Roman" w:cs="Times New Roman"/>
          <w:sz w:val="26"/>
          <w:szCs w:val="26"/>
        </w:rPr>
        <w:t xml:space="preserve">мониторинга технического состояния </w:t>
      </w:r>
    </w:p>
    <w:p w:rsidR="00D2446B" w:rsidRDefault="00D2446B" w:rsidP="00A05B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многоквартирных домов, расположенных</w:t>
      </w:r>
    </w:p>
    <w:p w:rsidR="00D2446B" w:rsidRDefault="00D2446B" w:rsidP="00A05B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округа   </w:t>
      </w:r>
    </w:p>
    <w:p w:rsidR="00A05B8B" w:rsidRDefault="00A05B8B" w:rsidP="00A05B8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2A18" w:rsidRPr="00310EA8" w:rsidRDefault="00DD3853" w:rsidP="00922A18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                                                                                                                                                 </w:t>
      </w:r>
      <w:r w:rsidR="00922A18" w:rsidRPr="00310EA8">
        <w:rPr>
          <w:rFonts w:ascii="Times New Roman" w:hAnsi="Times New Roman" w:cs="Times New Roman"/>
          <w:sz w:val="26"/>
          <w:szCs w:val="26"/>
        </w:rPr>
        <w:t>У</w:t>
      </w:r>
      <w:r w:rsidR="007114D9">
        <w:rPr>
          <w:rFonts w:ascii="Times New Roman" w:hAnsi="Times New Roman" w:cs="Times New Roman"/>
          <w:sz w:val="26"/>
          <w:szCs w:val="26"/>
        </w:rPr>
        <w:t xml:space="preserve">ТВЕРЖДАЮ </w:t>
      </w:r>
    </w:p>
    <w:p w:rsidR="00922A18" w:rsidRDefault="00DD3853" w:rsidP="0092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922A18">
        <w:rPr>
          <w:rFonts w:ascii="Times New Roman" w:hAnsi="Times New Roman" w:cs="Times New Roman"/>
          <w:sz w:val="26"/>
          <w:szCs w:val="26"/>
        </w:rPr>
        <w:t>п</w:t>
      </w:r>
      <w:r w:rsidR="00922A18" w:rsidRPr="00310EA8">
        <w:rPr>
          <w:rFonts w:ascii="Times New Roman" w:hAnsi="Times New Roman" w:cs="Times New Roman"/>
          <w:sz w:val="26"/>
          <w:szCs w:val="26"/>
        </w:rPr>
        <w:t>редседатель комиссии по рассмотрению</w:t>
      </w:r>
      <w:r w:rsidR="00922A1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A18" w:rsidRDefault="00DD3853" w:rsidP="0092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922A18">
        <w:rPr>
          <w:rFonts w:ascii="Times New Roman" w:hAnsi="Times New Roman" w:cs="Times New Roman"/>
          <w:sz w:val="26"/>
          <w:szCs w:val="26"/>
        </w:rPr>
        <w:t xml:space="preserve">результатов </w:t>
      </w:r>
      <w:r w:rsidR="00922A18" w:rsidRPr="00310EA8">
        <w:rPr>
          <w:rFonts w:ascii="Times New Roman" w:hAnsi="Times New Roman" w:cs="Times New Roman"/>
          <w:sz w:val="26"/>
          <w:szCs w:val="26"/>
        </w:rPr>
        <w:t xml:space="preserve">мониторинга технического </w:t>
      </w:r>
    </w:p>
    <w:p w:rsidR="007114D9" w:rsidRDefault="00DD3853" w:rsidP="0092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922A18" w:rsidRPr="00310EA8">
        <w:rPr>
          <w:rFonts w:ascii="Times New Roman" w:hAnsi="Times New Roman" w:cs="Times New Roman"/>
          <w:sz w:val="26"/>
          <w:szCs w:val="26"/>
        </w:rPr>
        <w:t xml:space="preserve">состояния </w:t>
      </w:r>
      <w:r w:rsidR="00922A18">
        <w:rPr>
          <w:rFonts w:ascii="Times New Roman" w:hAnsi="Times New Roman" w:cs="Times New Roman"/>
          <w:sz w:val="26"/>
          <w:szCs w:val="26"/>
        </w:rPr>
        <w:t xml:space="preserve">многоквартирных домов, </w:t>
      </w:r>
    </w:p>
    <w:p w:rsidR="007114D9" w:rsidRDefault="00DD3853" w:rsidP="0092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922A18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</w:t>
      </w:r>
    </w:p>
    <w:p w:rsidR="00922A18" w:rsidRPr="00310EA8" w:rsidRDefault="00DD3853" w:rsidP="00922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  <w:r w:rsidR="00922A18" w:rsidRPr="00310EA8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B26FCB" w:rsidRDefault="00DD3853" w:rsidP="00DD3853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B26FCB">
        <w:rPr>
          <w:rFonts w:ascii="Times New Roman" w:hAnsi="Times New Roman" w:cs="Times New Roman"/>
          <w:sz w:val="26"/>
          <w:szCs w:val="26"/>
        </w:rPr>
        <w:t xml:space="preserve">__________________  _______________                                              </w:t>
      </w:r>
    </w:p>
    <w:p w:rsidR="00DD3853" w:rsidRDefault="00DD3853" w:rsidP="00B26FCB">
      <w:pPr>
        <w:tabs>
          <w:tab w:val="left" w:pos="105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26FCB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2063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26F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B26FCB">
        <w:rPr>
          <w:rFonts w:ascii="Times New Roman" w:hAnsi="Times New Roman" w:cs="Times New Roman"/>
          <w:sz w:val="26"/>
          <w:szCs w:val="26"/>
        </w:rPr>
        <w:tab/>
        <w:t>Ф.И.О.                           подпись</w:t>
      </w:r>
    </w:p>
    <w:p w:rsidR="00DD3853" w:rsidRPr="004B59BE" w:rsidRDefault="00B26FCB" w:rsidP="00DD38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22A18" w:rsidRDefault="00B2063A" w:rsidP="00DD3853">
      <w:pPr>
        <w:tabs>
          <w:tab w:val="left" w:pos="10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="00B26F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D3853" w:rsidRPr="00310EA8">
        <w:rPr>
          <w:rFonts w:ascii="Times New Roman" w:hAnsi="Times New Roman" w:cs="Times New Roman"/>
          <w:sz w:val="26"/>
          <w:szCs w:val="26"/>
        </w:rPr>
        <w:t>"__</w:t>
      </w:r>
      <w:r w:rsidR="00DD3853">
        <w:rPr>
          <w:rFonts w:ascii="Times New Roman" w:hAnsi="Times New Roman" w:cs="Times New Roman"/>
          <w:sz w:val="26"/>
          <w:szCs w:val="26"/>
        </w:rPr>
        <w:t>____</w:t>
      </w:r>
      <w:r w:rsidR="00DD3853" w:rsidRPr="00310EA8">
        <w:rPr>
          <w:rFonts w:ascii="Times New Roman" w:hAnsi="Times New Roman" w:cs="Times New Roman"/>
          <w:sz w:val="26"/>
          <w:szCs w:val="26"/>
        </w:rPr>
        <w:t>_" ___________</w:t>
      </w:r>
      <w:r w:rsidR="00DD3853">
        <w:rPr>
          <w:rFonts w:ascii="Times New Roman" w:hAnsi="Times New Roman" w:cs="Times New Roman"/>
          <w:sz w:val="26"/>
          <w:szCs w:val="26"/>
        </w:rPr>
        <w:t>_____</w:t>
      </w:r>
      <w:r w:rsidR="00DD3853" w:rsidRPr="00310EA8">
        <w:rPr>
          <w:rFonts w:ascii="Times New Roman" w:hAnsi="Times New Roman" w:cs="Times New Roman"/>
          <w:sz w:val="26"/>
          <w:szCs w:val="26"/>
        </w:rPr>
        <w:t>___ 202__ г</w:t>
      </w:r>
      <w:r w:rsidR="00B26FCB">
        <w:rPr>
          <w:rFonts w:ascii="Times New Roman" w:hAnsi="Times New Roman" w:cs="Times New Roman"/>
          <w:sz w:val="26"/>
          <w:szCs w:val="26"/>
        </w:rPr>
        <w:t>.</w:t>
      </w:r>
    </w:p>
    <w:p w:rsidR="00DB1A03" w:rsidRDefault="00DB1A03" w:rsidP="00CC5D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913D9" w:rsidRPr="00E913D9" w:rsidRDefault="00E913D9" w:rsidP="00CC5D7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13D9">
        <w:rPr>
          <w:rFonts w:ascii="Times New Roman" w:hAnsi="Times New Roman" w:cs="Times New Roman"/>
          <w:sz w:val="26"/>
          <w:szCs w:val="26"/>
        </w:rPr>
        <w:t>Реестр</w:t>
      </w:r>
    </w:p>
    <w:p w:rsidR="00E913D9" w:rsidRDefault="00E913D9" w:rsidP="00E913D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913D9">
        <w:rPr>
          <w:rFonts w:ascii="Times New Roman" w:hAnsi="Times New Roman" w:cs="Times New Roman"/>
          <w:sz w:val="26"/>
          <w:szCs w:val="26"/>
        </w:rPr>
        <w:t>актов осмотра многоквартирных домов</w:t>
      </w:r>
    </w:p>
    <w:p w:rsidR="00CC5D74" w:rsidRPr="00E913D9" w:rsidRDefault="00CC5D74" w:rsidP="00E913D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64" w:type="dxa"/>
        <w:tblLook w:val="04A0" w:firstRow="1" w:lastRow="0" w:firstColumn="1" w:lastColumn="0" w:noHBand="0" w:noVBand="1"/>
      </w:tblPr>
      <w:tblGrid>
        <w:gridCol w:w="540"/>
        <w:gridCol w:w="977"/>
        <w:gridCol w:w="1302"/>
        <w:gridCol w:w="793"/>
        <w:gridCol w:w="2008"/>
        <w:gridCol w:w="1765"/>
        <w:gridCol w:w="1529"/>
        <w:gridCol w:w="1374"/>
        <w:gridCol w:w="1688"/>
        <w:gridCol w:w="1488"/>
        <w:gridCol w:w="1900"/>
      </w:tblGrid>
      <w:tr w:rsidR="00E913D9" w:rsidRPr="00227D20" w:rsidTr="00227D20">
        <w:trPr>
          <w:trHeight w:val="362"/>
        </w:trPr>
        <w:tc>
          <w:tcPr>
            <w:tcW w:w="540" w:type="dxa"/>
            <w:vMerge w:val="restart"/>
            <w:tcBorders>
              <w:top w:val="single" w:sz="4" w:space="0" w:color="3C3C3C"/>
              <w:left w:val="single" w:sz="4" w:space="0" w:color="3C3C3C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79" w:type="dxa"/>
            <w:gridSpan w:val="2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акта осмотра МКД</w:t>
            </w:r>
          </w:p>
        </w:tc>
        <w:tc>
          <w:tcPr>
            <w:tcW w:w="793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МКД</w:t>
            </w:r>
          </w:p>
        </w:tc>
        <w:tc>
          <w:tcPr>
            <w:tcW w:w="2008" w:type="dxa"/>
            <w:vMerge w:val="restart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проведения осмотра (визуальный, инструментальный и т.д.)</w:t>
            </w:r>
          </w:p>
        </w:tc>
        <w:tc>
          <w:tcPr>
            <w:tcW w:w="1765" w:type="dxa"/>
            <w:vMerge w:val="restart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состояния  и описание выявленных дефектов обследуемых конструктивных элементов МКД</w:t>
            </w:r>
          </w:p>
        </w:tc>
        <w:tc>
          <w:tcPr>
            <w:tcW w:w="7979" w:type="dxa"/>
            <w:gridSpan w:val="5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(вывод) технического осмотра </w:t>
            </w:r>
          </w:p>
        </w:tc>
      </w:tr>
      <w:tr w:rsidR="00E913D9" w:rsidRPr="00227D20" w:rsidTr="00E913D9">
        <w:trPr>
          <w:trHeight w:val="840"/>
        </w:trPr>
        <w:tc>
          <w:tcPr>
            <w:tcW w:w="5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акта осмотра  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проведения осмотра 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single" w:sz="4" w:space="0" w:color="3C3C3C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auto"/>
            </w:tcBorders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мероприятия по устранению выявленных недостатков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возможного устранения выявленных недостатков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 проведения капитального ремонта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Прогнозный срок проведения капитального ремонта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E913D9" w:rsidRPr="00227D20" w:rsidRDefault="00E913D9" w:rsidP="00E9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Оценочная (приблизительная стоимость капитального ремонта, тыс.руб.</w:t>
            </w:r>
          </w:p>
        </w:tc>
      </w:tr>
      <w:tr w:rsidR="00E913D9" w:rsidRPr="00227D20" w:rsidTr="00E91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E913D9" w:rsidRPr="00227D20" w:rsidRDefault="00E913D9" w:rsidP="00E913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D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82097B" w:rsidRPr="0082097B" w:rsidRDefault="00DB1A03" w:rsidP="00DB1A03">
      <w:pPr>
        <w:tabs>
          <w:tab w:val="left" w:pos="6405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/>
      </w:r>
    </w:p>
    <w:sectPr w:rsidR="0082097B" w:rsidRPr="0082097B" w:rsidSect="00820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87" w:rsidRDefault="003A5187" w:rsidP="00D2446B">
      <w:pPr>
        <w:spacing w:after="0" w:line="240" w:lineRule="auto"/>
      </w:pPr>
      <w:r>
        <w:separator/>
      </w:r>
    </w:p>
  </w:endnote>
  <w:endnote w:type="continuationSeparator" w:id="0">
    <w:p w:rsidR="003A5187" w:rsidRDefault="003A5187" w:rsidP="00D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87" w:rsidRDefault="003A5187" w:rsidP="00D2446B">
      <w:pPr>
        <w:spacing w:after="0" w:line="240" w:lineRule="auto"/>
      </w:pPr>
      <w:r>
        <w:separator/>
      </w:r>
    </w:p>
  </w:footnote>
  <w:footnote w:type="continuationSeparator" w:id="0">
    <w:p w:rsidR="003A5187" w:rsidRDefault="003A5187" w:rsidP="00D2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1"/>
    <w:rsid w:val="000F354E"/>
    <w:rsid w:val="00107E05"/>
    <w:rsid w:val="0014409D"/>
    <w:rsid w:val="001A283D"/>
    <w:rsid w:val="001A7C89"/>
    <w:rsid w:val="001C3C10"/>
    <w:rsid w:val="001C5048"/>
    <w:rsid w:val="001E0249"/>
    <w:rsid w:val="001E2DD2"/>
    <w:rsid w:val="0022075B"/>
    <w:rsid w:val="0022722D"/>
    <w:rsid w:val="00227D20"/>
    <w:rsid w:val="00234806"/>
    <w:rsid w:val="00255EAD"/>
    <w:rsid w:val="00295C95"/>
    <w:rsid w:val="002B2D24"/>
    <w:rsid w:val="003072F2"/>
    <w:rsid w:val="00310EA8"/>
    <w:rsid w:val="00320EF6"/>
    <w:rsid w:val="003A5187"/>
    <w:rsid w:val="003C4707"/>
    <w:rsid w:val="003E3476"/>
    <w:rsid w:val="0046031B"/>
    <w:rsid w:val="00497D79"/>
    <w:rsid w:val="004B186E"/>
    <w:rsid w:val="004B59BE"/>
    <w:rsid w:val="00536449"/>
    <w:rsid w:val="0054449E"/>
    <w:rsid w:val="00561FE5"/>
    <w:rsid w:val="005C05B2"/>
    <w:rsid w:val="005F4CB7"/>
    <w:rsid w:val="00671B3B"/>
    <w:rsid w:val="006779D1"/>
    <w:rsid w:val="006B09E2"/>
    <w:rsid w:val="006C77FB"/>
    <w:rsid w:val="006D77F2"/>
    <w:rsid w:val="00700F52"/>
    <w:rsid w:val="0070118F"/>
    <w:rsid w:val="007114D9"/>
    <w:rsid w:val="00745240"/>
    <w:rsid w:val="007563EA"/>
    <w:rsid w:val="007C2DEB"/>
    <w:rsid w:val="0082097B"/>
    <w:rsid w:val="00871B26"/>
    <w:rsid w:val="00885205"/>
    <w:rsid w:val="008A5725"/>
    <w:rsid w:val="008D35D8"/>
    <w:rsid w:val="008E69D9"/>
    <w:rsid w:val="008F0F74"/>
    <w:rsid w:val="00922A18"/>
    <w:rsid w:val="009251F9"/>
    <w:rsid w:val="00927A72"/>
    <w:rsid w:val="00937F59"/>
    <w:rsid w:val="009654FC"/>
    <w:rsid w:val="009A2D47"/>
    <w:rsid w:val="00A05B8B"/>
    <w:rsid w:val="00A11DBF"/>
    <w:rsid w:val="00A53732"/>
    <w:rsid w:val="00A853DF"/>
    <w:rsid w:val="00AE0234"/>
    <w:rsid w:val="00B2063A"/>
    <w:rsid w:val="00B26FCB"/>
    <w:rsid w:val="00B60DD9"/>
    <w:rsid w:val="00BB350F"/>
    <w:rsid w:val="00BB73F9"/>
    <w:rsid w:val="00C51F41"/>
    <w:rsid w:val="00C63130"/>
    <w:rsid w:val="00C76125"/>
    <w:rsid w:val="00CC5D74"/>
    <w:rsid w:val="00CC7FBD"/>
    <w:rsid w:val="00CD0960"/>
    <w:rsid w:val="00D015A5"/>
    <w:rsid w:val="00D2446B"/>
    <w:rsid w:val="00D62DF9"/>
    <w:rsid w:val="00D71779"/>
    <w:rsid w:val="00D72610"/>
    <w:rsid w:val="00D84D20"/>
    <w:rsid w:val="00DB1A03"/>
    <w:rsid w:val="00DB5031"/>
    <w:rsid w:val="00DC3847"/>
    <w:rsid w:val="00DD3853"/>
    <w:rsid w:val="00E25C09"/>
    <w:rsid w:val="00E913D9"/>
    <w:rsid w:val="00F12D23"/>
    <w:rsid w:val="00F46EAB"/>
    <w:rsid w:val="00F63C9F"/>
    <w:rsid w:val="00F7745E"/>
    <w:rsid w:val="00F83ADB"/>
    <w:rsid w:val="00F87260"/>
    <w:rsid w:val="00F8790F"/>
    <w:rsid w:val="00F969A9"/>
    <w:rsid w:val="00FA1C57"/>
    <w:rsid w:val="00FC43DC"/>
    <w:rsid w:val="00FC740D"/>
    <w:rsid w:val="00FE33A9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4DF7"/>
  <w15:chartTrackingRefBased/>
  <w15:docId w15:val="{4D3D1EED-173B-429C-92A2-E588800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6B"/>
  </w:style>
  <w:style w:type="paragraph" w:styleId="a6">
    <w:name w:val="footer"/>
    <w:basedOn w:val="a"/>
    <w:link w:val="a7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6B"/>
  </w:style>
  <w:style w:type="paragraph" w:styleId="a8">
    <w:name w:val="Balloon Text"/>
    <w:basedOn w:val="a"/>
    <w:link w:val="a9"/>
    <w:uiPriority w:val="99"/>
    <w:semiHidden/>
    <w:unhideWhenUsed/>
    <w:rsid w:val="0093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F5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00F5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B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@ars.tow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C3B59-4264-44BF-A8BF-FFAEE2115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Сазанюк Ирина Ивановна</dc:creator>
  <cp:keywords/>
  <dc:description/>
  <cp:lastModifiedBy>Герасимова Зоя Николаевна</cp:lastModifiedBy>
  <cp:revision>18</cp:revision>
  <cp:lastPrinted>2022-06-09T23:41:00Z</cp:lastPrinted>
  <dcterms:created xsi:type="dcterms:W3CDTF">2022-06-26T23:27:00Z</dcterms:created>
  <dcterms:modified xsi:type="dcterms:W3CDTF">2022-07-29T00:14:00Z</dcterms:modified>
</cp:coreProperties>
</file>