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13C" w:rsidRDefault="00BE613C">
      <w:pPr>
        <w:ind w:firstLine="660"/>
        <w:jc w:val="center"/>
      </w:pPr>
    </w:p>
    <w:p w:rsidR="00BE613C" w:rsidRDefault="003F6EA4" w:rsidP="00F76D46">
      <w:pPr>
        <w:ind w:firstLine="0"/>
        <w:jc w:val="center"/>
      </w:pPr>
      <w:r>
        <w:rPr>
          <w:noProof/>
        </w:rPr>
        <w:drawing>
          <wp:inline distT="0" distB="0" distL="0" distR="0">
            <wp:extent cx="591185" cy="74866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8" t="-166" r="-208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613C" w:rsidRDefault="003F6EA4" w:rsidP="00F76D46">
      <w:pPr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BE613C" w:rsidRDefault="003F6EA4" w:rsidP="00F76D46">
      <w:pPr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BE613C" w:rsidRDefault="00BE613C" w:rsidP="00F76D46">
      <w:pPr>
        <w:ind w:firstLine="0"/>
        <w:jc w:val="center"/>
        <w:rPr>
          <w:b/>
          <w:color w:val="000000"/>
          <w:spacing w:val="20"/>
          <w:sz w:val="16"/>
          <w:szCs w:val="16"/>
        </w:rPr>
      </w:pPr>
    </w:p>
    <w:p w:rsidR="00BE613C" w:rsidRDefault="00BE613C" w:rsidP="00F76D46">
      <w:pPr>
        <w:ind w:firstLine="0"/>
        <w:jc w:val="center"/>
        <w:rPr>
          <w:b/>
          <w:color w:val="000000"/>
          <w:spacing w:val="20"/>
          <w:sz w:val="16"/>
          <w:szCs w:val="16"/>
        </w:rPr>
      </w:pPr>
    </w:p>
    <w:p w:rsidR="00BE613C" w:rsidRDefault="003F6EA4" w:rsidP="00F76D46">
      <w:pPr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BE613C" w:rsidRDefault="00BE613C" w:rsidP="00F76D46">
      <w:pPr>
        <w:ind w:firstLine="0"/>
        <w:jc w:val="center"/>
        <w:rPr>
          <w:color w:val="000000"/>
          <w:sz w:val="16"/>
        </w:rPr>
      </w:pPr>
    </w:p>
    <w:p w:rsidR="00BE613C" w:rsidRDefault="00BE613C" w:rsidP="00F76D46">
      <w:pPr>
        <w:ind w:firstLine="0"/>
        <w:jc w:val="center"/>
        <w:rPr>
          <w:color w:val="000000"/>
          <w:sz w:val="16"/>
        </w:rPr>
      </w:pPr>
    </w:p>
    <w:tbl>
      <w:tblPr>
        <w:tblW w:w="8793" w:type="dxa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09"/>
        <w:gridCol w:w="5101"/>
        <w:gridCol w:w="509"/>
        <w:gridCol w:w="1174"/>
      </w:tblGrid>
      <w:tr w:rsidR="00BE613C" w:rsidTr="00F76D46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BE613C" w:rsidRDefault="00152A5D" w:rsidP="00F76D46">
            <w:pPr>
              <w:ind w:left="-124" w:right="-108" w:firstLine="0"/>
              <w:jc w:val="center"/>
            </w:pPr>
            <w:r>
              <w:t>14 ноября 2019 г.</w:t>
            </w:r>
          </w:p>
        </w:tc>
        <w:tc>
          <w:tcPr>
            <w:tcW w:w="5101" w:type="dxa"/>
            <w:tcBorders>
              <w:top w:val="nil"/>
              <w:bottom w:val="nil"/>
            </w:tcBorders>
            <w:shd w:val="clear" w:color="auto" w:fill="auto"/>
          </w:tcPr>
          <w:p w:rsidR="00BE613C" w:rsidRPr="00F76D46" w:rsidRDefault="003F6EA4" w:rsidP="00F76D46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F76D46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</w:tcPr>
          <w:p w:rsidR="00BE613C" w:rsidRDefault="003F6EA4" w:rsidP="00F76D46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BE613C" w:rsidRDefault="00152A5D" w:rsidP="00F76D46">
            <w:pPr>
              <w:ind w:left="-108" w:right="-132" w:firstLine="0"/>
              <w:jc w:val="center"/>
            </w:pPr>
            <w:r>
              <w:t>827-па</w:t>
            </w:r>
          </w:p>
        </w:tc>
      </w:tr>
    </w:tbl>
    <w:p w:rsidR="00BE613C" w:rsidRDefault="00BE613C">
      <w:pPr>
        <w:pStyle w:val="ConsPlusTitle"/>
        <w:ind w:left="4944" w:firstLine="720"/>
      </w:pPr>
    </w:p>
    <w:p w:rsidR="00BE613C" w:rsidRDefault="00BE613C">
      <w:pPr>
        <w:pStyle w:val="ConsPlusTitle"/>
        <w:ind w:left="4944" w:firstLine="720"/>
      </w:pPr>
    </w:p>
    <w:p w:rsidR="00BE613C" w:rsidRPr="00F76D46" w:rsidRDefault="003F6EA4">
      <w:pPr>
        <w:tabs>
          <w:tab w:val="left" w:pos="8041"/>
        </w:tabs>
        <w:ind w:firstLine="0"/>
        <w:jc w:val="center"/>
      </w:pPr>
      <w:r w:rsidRPr="00F76D46">
        <w:rPr>
          <w:b/>
          <w:bCs/>
        </w:rPr>
        <w:t xml:space="preserve">Об утверждении муниципальной целевой программы </w:t>
      </w:r>
    </w:p>
    <w:p w:rsidR="00BE613C" w:rsidRPr="00F76D46" w:rsidRDefault="003F6EA4">
      <w:pPr>
        <w:tabs>
          <w:tab w:val="left" w:pos="8041"/>
        </w:tabs>
        <w:ind w:firstLine="0"/>
        <w:jc w:val="center"/>
        <w:rPr>
          <w:b/>
          <w:bCs/>
        </w:rPr>
      </w:pPr>
      <w:r w:rsidRPr="00F76D46">
        <w:rPr>
          <w:b/>
          <w:bCs/>
        </w:rPr>
        <w:t xml:space="preserve">«Развитие внутреннего и въездного туризма на территории </w:t>
      </w:r>
    </w:p>
    <w:p w:rsidR="00BE613C" w:rsidRPr="00F76D46" w:rsidRDefault="003F6EA4">
      <w:pPr>
        <w:tabs>
          <w:tab w:val="left" w:pos="8041"/>
        </w:tabs>
        <w:ind w:firstLine="0"/>
        <w:jc w:val="center"/>
        <w:rPr>
          <w:b/>
          <w:bCs/>
        </w:rPr>
      </w:pPr>
      <w:r w:rsidRPr="00F76D46">
        <w:rPr>
          <w:b/>
          <w:bCs/>
        </w:rPr>
        <w:t xml:space="preserve">Арсеньевского городского округа»  </w:t>
      </w:r>
    </w:p>
    <w:p w:rsidR="00BE613C" w:rsidRPr="00F76D46" w:rsidRDefault="003F6EA4">
      <w:pPr>
        <w:tabs>
          <w:tab w:val="left" w:pos="8041"/>
        </w:tabs>
        <w:ind w:firstLine="0"/>
        <w:jc w:val="center"/>
        <w:rPr>
          <w:b/>
          <w:bCs/>
        </w:rPr>
      </w:pPr>
      <w:r w:rsidRPr="00F76D46">
        <w:rPr>
          <w:b/>
          <w:bCs/>
        </w:rPr>
        <w:t>на 2020-2024 годы</w:t>
      </w:r>
    </w:p>
    <w:p w:rsidR="00BE613C" w:rsidRPr="00F76D46" w:rsidRDefault="00BE613C">
      <w:pPr>
        <w:tabs>
          <w:tab w:val="left" w:pos="8041"/>
        </w:tabs>
        <w:spacing w:line="360" w:lineRule="auto"/>
        <w:ind w:firstLine="720"/>
        <w:rPr>
          <w:b/>
        </w:rPr>
      </w:pPr>
    </w:p>
    <w:p w:rsidR="00BE613C" w:rsidRPr="00F76D46" w:rsidRDefault="003F6EA4">
      <w:pPr>
        <w:spacing w:line="360" w:lineRule="auto"/>
        <w:ind w:firstLine="748"/>
      </w:pPr>
      <w:r w:rsidRPr="00F76D46">
        <w:t>В целях развития муниципальной программы «Развитие внутреннего и въездного туризма на территории Арсеньевского городского округа» на 2020-2024 годы, в соответствии с Федеральным законом от 06 октября 2003 года № 131-ФЗ  «Об общих принципах организации местного самоуправления в Российской Федерации", Федеральным законом от 24 ноября 1996 года № 132-ФЗ "Об основах туристской деятельности в Российской Федерации", руководствуясь Уставом Арсеньевского  городского округа, администрация Арсеньевского городского округа</w:t>
      </w:r>
    </w:p>
    <w:p w:rsidR="00BE613C" w:rsidRPr="00F76D46" w:rsidRDefault="00BE613C">
      <w:pPr>
        <w:tabs>
          <w:tab w:val="left" w:pos="8041"/>
        </w:tabs>
        <w:spacing w:line="360" w:lineRule="auto"/>
      </w:pPr>
    </w:p>
    <w:p w:rsidR="00BE613C" w:rsidRPr="00F76D46" w:rsidRDefault="003F6EA4">
      <w:pPr>
        <w:tabs>
          <w:tab w:val="left" w:pos="8041"/>
        </w:tabs>
        <w:spacing w:line="360" w:lineRule="auto"/>
      </w:pPr>
      <w:r w:rsidRPr="00F76D46">
        <w:t>ПОСТАНОВЛЯЕТ:</w:t>
      </w:r>
    </w:p>
    <w:p w:rsidR="00BE613C" w:rsidRPr="00F76D46" w:rsidRDefault="003F6EA4">
      <w:pPr>
        <w:pStyle w:val="af"/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uppressAutoHyphens/>
        <w:autoSpaceDE w:val="0"/>
        <w:spacing w:line="360" w:lineRule="auto"/>
        <w:ind w:left="0"/>
      </w:pPr>
      <w:r w:rsidRPr="00F76D46">
        <w:t xml:space="preserve">1. Утвердить прилагаемую </w:t>
      </w:r>
      <w:bookmarkStart w:id="0" w:name="_GoBack1"/>
      <w:bookmarkEnd w:id="0"/>
      <w:r w:rsidRPr="00F76D46">
        <w:t>муниципальную программу «Развитие внутреннего и въездного туризма на территории Арсеньевского городского округа» на 2020-2024 годы.</w:t>
      </w:r>
    </w:p>
    <w:p w:rsidR="00BE613C" w:rsidRPr="00F76D46" w:rsidRDefault="003F6EA4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</w:pPr>
      <w:r w:rsidRPr="00F76D46">
        <w:t>2. Признать утратившим силу постановление администрации Арсеньевского городского округа от 23 декабря 2015 года № 924-па Об утверждении муниципальной программы «Развитие внутреннего и въездного туризма на территории Арсеньевского городского округа» на 2016-2021 годы».</w:t>
      </w:r>
    </w:p>
    <w:p w:rsidR="00BE613C" w:rsidRPr="00F76D46" w:rsidRDefault="003F6EA4" w:rsidP="00F76D46">
      <w:pPr>
        <w:spacing w:line="360" w:lineRule="auto"/>
      </w:pPr>
      <w:r w:rsidRPr="00F76D46">
        <w:t>3.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E613C" w:rsidRPr="00F76D46" w:rsidRDefault="003F6EA4" w:rsidP="00F76D46">
      <w:pPr>
        <w:tabs>
          <w:tab w:val="left" w:pos="670"/>
        </w:tabs>
        <w:spacing w:line="360" w:lineRule="auto"/>
        <w:ind w:right="12"/>
      </w:pPr>
      <w:r w:rsidRPr="00F76D46">
        <w:t xml:space="preserve">4. Настоящее постановление вступает в силу после его официального </w:t>
      </w:r>
      <w:r w:rsidRPr="00F76D46">
        <w:lastRenderedPageBreak/>
        <w:t>опубликования и действует с 01 января 2020 года.</w:t>
      </w:r>
    </w:p>
    <w:p w:rsidR="00BE613C" w:rsidRPr="00F76D46" w:rsidRDefault="003F6EA4">
      <w:pPr>
        <w:tabs>
          <w:tab w:val="left" w:pos="670"/>
        </w:tabs>
        <w:spacing w:before="108" w:line="360" w:lineRule="auto"/>
        <w:ind w:right="12"/>
      </w:pPr>
      <w:r w:rsidRPr="00F76D46">
        <w:t>5. Контроль за исполнением настоящего постановления возложить на заместителя главы администрации Арсеньевского городского округа С.Л.Черных.</w:t>
      </w:r>
    </w:p>
    <w:p w:rsidR="00BE613C" w:rsidRPr="00F76D46" w:rsidRDefault="00BE613C">
      <w:pPr>
        <w:tabs>
          <w:tab w:val="left" w:pos="670"/>
        </w:tabs>
        <w:spacing w:before="108" w:line="360" w:lineRule="auto"/>
        <w:ind w:right="12"/>
      </w:pPr>
    </w:p>
    <w:p w:rsidR="00BE613C" w:rsidRPr="00F76D46" w:rsidRDefault="003F6EA4">
      <w:pPr>
        <w:tabs>
          <w:tab w:val="left" w:pos="8041"/>
        </w:tabs>
        <w:ind w:firstLine="720"/>
      </w:pPr>
      <w:r w:rsidRPr="00F76D46">
        <w:tab/>
      </w:r>
    </w:p>
    <w:p w:rsidR="00BE613C" w:rsidRPr="00F76D46" w:rsidRDefault="003F6EA4">
      <w:pPr>
        <w:tabs>
          <w:tab w:val="left" w:pos="8041"/>
        </w:tabs>
        <w:spacing w:line="360" w:lineRule="auto"/>
        <w:ind w:firstLine="660"/>
      </w:pPr>
      <w:r w:rsidRPr="00F76D46">
        <w:t>Врио Главы городского округа                                                     В.С. Пивень</w:t>
      </w: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BE613C" w:rsidRDefault="00BE613C">
      <w:pPr>
        <w:ind w:firstLine="660"/>
        <w:jc w:val="center"/>
      </w:pPr>
    </w:p>
    <w:p w:rsidR="00A808FD" w:rsidRDefault="00A808FD">
      <w:pPr>
        <w:ind w:firstLine="660"/>
        <w:jc w:val="center"/>
      </w:pPr>
    </w:p>
    <w:p w:rsidR="00A808FD" w:rsidRDefault="00A808FD">
      <w:pPr>
        <w:ind w:firstLine="660"/>
        <w:jc w:val="center"/>
      </w:pPr>
      <w:bookmarkStart w:id="1" w:name="_GoBack"/>
      <w:bookmarkEnd w:id="1"/>
    </w:p>
    <w:p w:rsidR="00BE613C" w:rsidRDefault="00BE613C">
      <w:pPr>
        <w:ind w:firstLine="660"/>
        <w:jc w:val="center"/>
      </w:pPr>
    </w:p>
    <w:p w:rsidR="00BE613C" w:rsidRDefault="003F6EA4">
      <w:pPr>
        <w:tabs>
          <w:tab w:val="left" w:pos="6195"/>
        </w:tabs>
        <w:ind w:firstLine="0"/>
        <w:jc w:val="center"/>
        <w:outlineLvl w:val="1"/>
      </w:pPr>
      <w:r>
        <w:lastRenderedPageBreak/>
        <w:t xml:space="preserve">                                                                                         УТВЕРЖДЕНА</w:t>
      </w:r>
    </w:p>
    <w:p w:rsidR="00BE613C" w:rsidRDefault="003F6EA4">
      <w:pPr>
        <w:tabs>
          <w:tab w:val="left" w:pos="6195"/>
        </w:tabs>
        <w:ind w:firstLine="0"/>
        <w:jc w:val="center"/>
        <w:outlineLvl w:val="1"/>
      </w:pPr>
      <w:r>
        <w:t xml:space="preserve">                                                                                        постановлением администрации </w:t>
      </w:r>
    </w:p>
    <w:p w:rsidR="00BE613C" w:rsidRDefault="003F6EA4">
      <w:pPr>
        <w:tabs>
          <w:tab w:val="left" w:pos="6195"/>
        </w:tabs>
        <w:ind w:firstLine="0"/>
        <w:jc w:val="center"/>
        <w:outlineLvl w:val="1"/>
      </w:pPr>
      <w:r>
        <w:t xml:space="preserve">                                                                                      Арсеньевского городского округа</w:t>
      </w:r>
    </w:p>
    <w:p w:rsidR="00BE613C" w:rsidRDefault="003F6EA4">
      <w:pPr>
        <w:tabs>
          <w:tab w:val="left" w:pos="6195"/>
        </w:tabs>
        <w:ind w:left="5103" w:right="-2" w:firstLine="0"/>
        <w:jc w:val="center"/>
        <w:outlineLvl w:val="1"/>
      </w:pPr>
      <w:r>
        <w:t xml:space="preserve">       от «</w:t>
      </w:r>
      <w:r>
        <w:rPr>
          <w:u w:val="single"/>
        </w:rPr>
        <w:t>14»</w:t>
      </w:r>
      <w:r>
        <w:t xml:space="preserve"> </w:t>
      </w:r>
      <w:r>
        <w:rPr>
          <w:u w:val="single"/>
        </w:rPr>
        <w:t xml:space="preserve">ноября </w:t>
      </w:r>
      <w:r>
        <w:t xml:space="preserve">2019 года № </w:t>
      </w:r>
      <w:r>
        <w:rPr>
          <w:u w:val="single"/>
        </w:rPr>
        <w:t>827-па</w:t>
      </w:r>
    </w:p>
    <w:p w:rsidR="00BE613C" w:rsidRDefault="00BE613C">
      <w:pPr>
        <w:ind w:firstLine="660"/>
        <w:jc w:val="center"/>
      </w:pPr>
    </w:p>
    <w:p w:rsidR="00BE613C" w:rsidRDefault="003F6EA4">
      <w:pPr>
        <w:ind w:firstLine="660"/>
        <w:jc w:val="center"/>
      </w:pPr>
      <w:r>
        <w:t>Паспорт муниципальной программы</w:t>
      </w:r>
    </w:p>
    <w:p w:rsidR="00BE613C" w:rsidRDefault="003F6EA4">
      <w:pPr>
        <w:ind w:firstLine="660"/>
        <w:jc w:val="center"/>
      </w:pPr>
      <w:r>
        <w:t xml:space="preserve"> «Развитие внутреннего и въездного туризма на территории </w:t>
      </w:r>
    </w:p>
    <w:p w:rsidR="00BE613C" w:rsidRDefault="003F6EA4">
      <w:pPr>
        <w:ind w:firstLine="660"/>
        <w:jc w:val="center"/>
      </w:pPr>
      <w:r>
        <w:t>Арсеньевского городского округа» на 2020-2024 годы</w:t>
      </w:r>
    </w:p>
    <w:p w:rsidR="00BE613C" w:rsidRDefault="00BE613C">
      <w:pPr>
        <w:ind w:firstLine="660"/>
        <w:jc w:val="center"/>
      </w:pPr>
    </w:p>
    <w:tbl>
      <w:tblPr>
        <w:tblW w:w="9651" w:type="dxa"/>
        <w:tblInd w:w="-12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180"/>
        <w:gridCol w:w="6471"/>
      </w:tblGrid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>Наименование программы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30"/>
            </w:pPr>
            <w:r>
              <w:t>Муниципальная программа «Развитие внутреннего  и въездного туризма на территории Арсеньевского городского округа» на 2020-2024 годы (далее –Программа)</w:t>
            </w: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>Ответственный исполнитель программы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30"/>
            </w:pPr>
            <w:r>
              <w:t>Управление экономики и инвестиций администрации Арсеньевского городского округа (далее – городского округа)</w:t>
            </w: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>Соисполнители Программы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pStyle w:val="ConsPlusNonformat"/>
              <w:widowControl/>
              <w:ind w:firstLine="30"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Управление имущественных отношений администрации городского округа</w:t>
            </w: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>Цели Программы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 xml:space="preserve">1. Создание действующего механизма привлечения и приема туристов в городском округе, формирование туристского продукта и его продвижение на российском рынке. </w:t>
            </w:r>
          </w:p>
          <w:p w:rsidR="00BE613C" w:rsidRDefault="003F6EA4">
            <w:pPr>
              <w:ind w:firstLine="2"/>
            </w:pPr>
            <w:r>
              <w:t xml:space="preserve">2. Создание благоприятных условий для оздоровления и отдыха жителей и гостей города.       </w:t>
            </w: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 xml:space="preserve">Задачи Программы 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1. Развитие инфраструктуры туристических услуг на территории   городского округа. </w:t>
            </w:r>
          </w:p>
          <w:p w:rsidR="00BE613C" w:rsidRDefault="003F6EA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2.Позиционирование городского округа как привлекательной территории для туризма и отдыха.                                                          </w:t>
            </w:r>
          </w:p>
          <w:p w:rsidR="00BE613C" w:rsidRDefault="003F6EA4">
            <w:pPr>
              <w:ind w:firstLine="0"/>
            </w:pPr>
            <w:r>
              <w:t xml:space="preserve">3. Привлечение инвестиций в сфере туризма, создание новых рабочих мест, увеличение доходов от туристической деятельности. </w:t>
            </w: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>Целевые индикаторы и показатели программы соответствие целей, задач, показателей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1. Численность граждан (в т.ч. иностранных граждан), размещенных в коллективных средствах размещения;</w:t>
            </w:r>
          </w:p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2. Коэффициент заполняемости номерного фонда в коллективных средствах размещения;</w:t>
            </w:r>
          </w:p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3. Объем платных туристских услуг (в т.ч. объем платных услуг гостиниц и других коллективных средств размещения);</w:t>
            </w:r>
          </w:p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4. Количество мероприятий туристической направленности;</w:t>
            </w:r>
          </w:p>
          <w:p w:rsidR="00BE613C" w:rsidRDefault="003F6EA4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5. Количество установленных баннеров;</w:t>
            </w:r>
          </w:p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szCs w:val="26"/>
              </w:rPr>
              <w:t>Доля граждан, удовлетворенных развитием внутреннего туризма на территории Арсеньевского городского округа от общего количества опрошенных, %</w:t>
            </w: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>Этапы и сроки реализации программы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Программа реализуется в один этап в 2020-2024 годах</w:t>
            </w:r>
          </w:p>
        </w:tc>
      </w:tr>
      <w:tr w:rsidR="00BE613C">
        <w:trPr>
          <w:trHeight w:val="2126"/>
        </w:trPr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  <w:jc w:val="left"/>
            </w:pPr>
            <w:r>
              <w:lastRenderedPageBreak/>
              <w:t>Объем средств бюджета городского округа на  финансирование  программы и прогнозная оценка привлекаемых на реализацию  ее  целей</w:t>
            </w:r>
            <w:r>
              <w:br/>
              <w:t>средств федерального бюджета, краевого бюджета, бюджетов государственных  внебюджетных фондов,  иных  внебюджетных   источников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 xml:space="preserve">Общий объем финансирования Программы осуществляется из бюджета городского округа и составляет 125 тыс. руб. в том числе по годам: </w:t>
            </w:r>
          </w:p>
          <w:p w:rsidR="00BE613C" w:rsidRDefault="003F6EA4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szCs w:val="26"/>
              </w:rPr>
              <w:br/>
              <w:t>в 2020 году – 25 тыс. руб.,</w:t>
            </w:r>
          </w:p>
          <w:p w:rsidR="00BE613C" w:rsidRDefault="003F6EA4">
            <w:pPr>
              <w:pStyle w:val="ConsPlusNonformat"/>
              <w:widowControl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в 2021 году -  25 тыс. руб., </w:t>
            </w:r>
          </w:p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в 2022 году -  25 тыс. руб.</w:t>
            </w:r>
          </w:p>
          <w:p w:rsidR="00BE613C" w:rsidRDefault="003F6EA4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Cs w:val="26"/>
              </w:rPr>
              <w:t>в 2023 году -  25 тыс. руб.</w:t>
            </w:r>
          </w:p>
          <w:p w:rsidR="00BE613C" w:rsidRDefault="003F6EA4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 2024 году - 25 тыс. руб.</w:t>
            </w:r>
          </w:p>
          <w:p w:rsidR="00BE613C" w:rsidRDefault="003F6EA4">
            <w:pPr>
              <w:pStyle w:val="ConsPlusNonformat"/>
              <w:widowControl/>
              <w:tabs>
                <w:tab w:val="left" w:pos="0"/>
              </w:tabs>
            </w:pPr>
            <w:r>
              <w:rPr>
                <w:rFonts w:ascii="Times New Roman" w:hAnsi="Times New Roman" w:cs="Times New Roman"/>
                <w:szCs w:val="26"/>
              </w:rPr>
              <w:t>Субсидии из федерального бюджета, бюджета Приморского края, из внебюджетных средств на реализацию Программы не привлекаются.</w:t>
            </w:r>
          </w:p>
          <w:p w:rsidR="00BE613C" w:rsidRDefault="00BE613C">
            <w:pPr>
              <w:tabs>
                <w:tab w:val="left" w:pos="0"/>
              </w:tabs>
              <w:ind w:firstLine="0"/>
            </w:pPr>
          </w:p>
        </w:tc>
      </w:tr>
      <w:tr w:rsidR="00BE613C"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</w:pPr>
            <w:r>
              <w:t xml:space="preserve">Ожидаемые конечные результаты  </w:t>
            </w:r>
          </w:p>
        </w:tc>
        <w:tc>
          <w:tcPr>
            <w:tcW w:w="6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613C" w:rsidRDefault="003F6EA4">
            <w:pPr>
              <w:ind w:firstLine="0"/>
              <w:jc w:val="lef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Увеличение численности граждан России и иностранных граждан, размещенных в коллективных средствах размещения на 12%;</w:t>
            </w:r>
          </w:p>
          <w:p w:rsidR="00BE613C" w:rsidRDefault="003F6EA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коэффициента заполняемости номерного фонда в коллективных средствах размещения </w:t>
            </w:r>
            <w:r>
              <w:rPr>
                <w:color w:val="000000"/>
              </w:rPr>
              <w:br/>
              <w:t xml:space="preserve">на 1%; </w:t>
            </w:r>
          </w:p>
          <w:p w:rsidR="00BE613C" w:rsidRDefault="003F6EA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Увеличение объема платных туристских услуг на 10,6%; </w:t>
            </w:r>
          </w:p>
          <w:p w:rsidR="00BE613C" w:rsidRDefault="003F6EA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Увеличение количества мероприятий туристической направленности -  2 ед.;</w:t>
            </w:r>
          </w:p>
          <w:p w:rsidR="00BE613C" w:rsidRDefault="003F6EA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Установка баннеров — 3 ед.;</w:t>
            </w:r>
          </w:p>
          <w:p w:rsidR="00BE613C" w:rsidRDefault="003F6EA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Доля граждан, удовлетворенных развитием внутреннего туризма на территории Арсеньевского городского округа от  общего количества опрошенных  -37%</w:t>
            </w:r>
          </w:p>
        </w:tc>
      </w:tr>
    </w:tbl>
    <w:p w:rsidR="00BE613C" w:rsidRDefault="00BE613C">
      <w:pPr>
        <w:widowControl/>
        <w:ind w:left="782" w:firstLine="660"/>
        <w:jc w:val="center"/>
        <w:rPr>
          <w:b/>
        </w:rPr>
      </w:pPr>
    </w:p>
    <w:p w:rsidR="00BE613C" w:rsidRDefault="003F6EA4">
      <w:pPr>
        <w:widowControl/>
        <w:numPr>
          <w:ilvl w:val="0"/>
          <w:numId w:val="1"/>
        </w:numPr>
        <w:ind w:left="782" w:firstLine="660"/>
        <w:jc w:val="center"/>
        <w:rPr>
          <w:b/>
        </w:rPr>
      </w:pPr>
      <w:r>
        <w:rPr>
          <w:b/>
        </w:rPr>
        <w:t>Содержание проблемы и обоснование необходимости решения программными методами</w:t>
      </w:r>
    </w:p>
    <w:p w:rsidR="00BE613C" w:rsidRDefault="00BE613C">
      <w:pPr>
        <w:ind w:left="782"/>
        <w:rPr>
          <w:b/>
        </w:rPr>
      </w:pPr>
    </w:p>
    <w:p w:rsidR="00BE613C" w:rsidRDefault="003F6EA4">
      <w:pPr>
        <w:spacing w:line="360" w:lineRule="auto"/>
      </w:pPr>
      <w:r>
        <w:t xml:space="preserve">Муниципальная программа "Развитие внутреннего и въездного туризма на территории Арсеньевского городского округа» на 2020-2024 годы (далее Программа) разработана администрацией городского округа в рамках реализации стратегических направлений развития Приморского края и городского округа на основании Федерального закона от 24 ноября 1996 года № 132-ФЗ "Об основах туристской деятельности в Российской Федерации", Указа Президента РФ от 25 апреля 1994 года № 813 "О дополнительных мерах по развитию туризма в Российской Федерации и об упорядочении использования государственной собственности в сфере туризма", Распоряжения Правительства РФ от 20 сентября 2019 года № 2129-р «Об утверждении Стратегии развития туризма в Российской Федерации на период до 2035 года», во исполнение полномочий, установленных Федеральным законом от 06 октября 2013 года № 131-ФЗ «Об общих принципах организации местного </w:t>
      </w:r>
      <w:r>
        <w:lastRenderedPageBreak/>
        <w:t>самоуправления в Российской Федерации» и</w:t>
      </w:r>
      <w:r>
        <w:rPr>
          <w:color w:val="CE181E"/>
        </w:rPr>
        <w:t xml:space="preserve"> </w:t>
      </w:r>
      <w:r>
        <w:t>содержит наиболее актуальные предложения и мероприятия в целях создания правовой, организационно-управленческой и экономической среды, благоприятной для развития туристической индустрии в городском округе.</w:t>
      </w:r>
    </w:p>
    <w:p w:rsidR="00BE613C" w:rsidRDefault="003F6EA4">
      <w:pPr>
        <w:spacing w:line="360" w:lineRule="auto"/>
      </w:pPr>
      <w:r>
        <w:t>Администрация городского округа придает особое значение развитию туризма, так как он является фактором, способным решить не только социально-экономические проблемы городского округа, но и обеспечить определенное положение городского округа в ряду наиболее привлекательных для туристов городов Приморского края.</w:t>
      </w:r>
    </w:p>
    <w:p w:rsidR="00BE613C" w:rsidRDefault="003F6EA4">
      <w:pPr>
        <w:spacing w:line="360" w:lineRule="auto"/>
      </w:pPr>
      <w:r>
        <w:t xml:space="preserve">Туризм сегодня является одной из наиболее высокодоходных и динамично развивающихся отраслей экономики, оказывающих сильное мультипликативное влияние на совокупную деятельность различных секторов экономики. Доход, получаемый от туризма, занимает значительную часть в бюджетах государств и составляет до 10 % валового национального продукта. </w:t>
      </w:r>
    </w:p>
    <w:p w:rsidR="00BE613C" w:rsidRDefault="003F6EA4">
      <w:pPr>
        <w:spacing w:line="360" w:lineRule="auto"/>
      </w:pPr>
      <w:r>
        <w:t xml:space="preserve">Туристская индустрия располагает материально-технической базой, обеспечивает занятость большого числа людей и взаимодействует со всеми отраслями экономического комплекса, в силу чего выступает своеобразным катализатором социально-экономического развития территории. </w:t>
      </w:r>
    </w:p>
    <w:p w:rsidR="00BE613C" w:rsidRDefault="003F6EA4">
      <w:pPr>
        <w:spacing w:line="360" w:lineRule="auto"/>
      </w:pPr>
      <w:r>
        <w:t>В более широком плане туристскую индустрию можно определить, как межотраслевой комплекс, включающий:</w:t>
      </w:r>
    </w:p>
    <w:p w:rsidR="00BE613C" w:rsidRDefault="003F6EA4">
      <w:pPr>
        <w:spacing w:line="360" w:lineRule="auto"/>
      </w:pPr>
      <w:r>
        <w:t>- объекты туристического показа, развлечений, отдыха, спорта и других услуг;</w:t>
      </w:r>
    </w:p>
    <w:p w:rsidR="00BE613C" w:rsidRDefault="003F6EA4">
      <w:pPr>
        <w:spacing w:line="360" w:lineRule="auto"/>
      </w:pPr>
      <w:r>
        <w:t>- широкую сферу услуг, которыми пользуется турист (торговля, общественное питание, бытовое и медицинское обслуживание и др.);</w:t>
      </w:r>
    </w:p>
    <w:p w:rsidR="00BE613C" w:rsidRDefault="003F6EA4">
      <w:pPr>
        <w:spacing w:line="360" w:lineRule="auto"/>
      </w:pPr>
      <w:r>
        <w:t>-пассажирский транспорт (воздушный, водный, автомобильный, железнодорожный) с его разветвленной сетью технических служб;</w:t>
      </w:r>
    </w:p>
    <w:p w:rsidR="00BE613C" w:rsidRDefault="003F6EA4">
      <w:pPr>
        <w:spacing w:line="360" w:lineRule="auto"/>
      </w:pPr>
      <w:r>
        <w:t>- различные специализированные туристские предприятия и предприятия отраслей, не имеющих ярко выраженного туристского характера (в частности, транспортного машиностроения и автомобилестроения, топливной промышленности, капитального и дорожного строительства, местной промышленности по изготовлению сувениров, пищевой промышленности, отраслей сельского хозяйства и т.п.).</w:t>
      </w:r>
      <w:r>
        <w:rPr>
          <w:color w:val="3A3A3A"/>
        </w:rPr>
        <w:t xml:space="preserve"> </w:t>
      </w:r>
    </w:p>
    <w:p w:rsidR="00BE613C" w:rsidRDefault="003F6EA4">
      <w:pPr>
        <w:spacing w:line="360" w:lineRule="auto"/>
      </w:pPr>
      <w:r>
        <w:t xml:space="preserve">Индустрию туризма и гостеприимства следует считать комплексообразующей отраслью, основанной на интегрированном использовании всего экономического, культурного и природного потенциала территории. </w:t>
      </w:r>
    </w:p>
    <w:p w:rsidR="00BE613C" w:rsidRDefault="003F6EA4">
      <w:pPr>
        <w:spacing w:line="360" w:lineRule="auto"/>
      </w:pPr>
      <w:r>
        <w:lastRenderedPageBreak/>
        <w:t xml:space="preserve">Последнее время активно развивается внутренний и въездной туризм, который рассматривается как одна из приоритетных отраслей экономики государства. </w:t>
      </w:r>
    </w:p>
    <w:p w:rsidR="00BE613C" w:rsidRDefault="003F6EA4">
      <w:pPr>
        <w:spacing w:line="360" w:lineRule="auto"/>
      </w:pPr>
      <w:r>
        <w:t>Современное развитие сферы туризма характеризуется несколькими тенденциями:</w:t>
      </w:r>
    </w:p>
    <w:p w:rsidR="00BE613C" w:rsidRDefault="003F6EA4">
      <w:pPr>
        <w:spacing w:line="360" w:lineRule="auto"/>
      </w:pPr>
      <w:r>
        <w:t>- активные формы отдыха вытесняют пассивные, как следствие, становятся популярными приключенческие и спортивные поездки, экологический туризм;</w:t>
      </w:r>
    </w:p>
    <w:p w:rsidR="00BE613C" w:rsidRDefault="003F6EA4">
      <w:pPr>
        <w:spacing w:line="360" w:lineRule="auto"/>
      </w:pPr>
      <w:r>
        <w:t>- повышается интерес к национальной культуре, малым городам России, следствием этого стало возрастание этнографических туров по малым городам России;</w:t>
      </w:r>
    </w:p>
    <w:p w:rsidR="00BE613C" w:rsidRDefault="003F6EA4">
      <w:pPr>
        <w:spacing w:line="360" w:lineRule="auto"/>
      </w:pPr>
      <w:r>
        <w:t>- большим спросом пользуются краткосрочные туры по городам;</w:t>
      </w:r>
    </w:p>
    <w:p w:rsidR="00BE613C" w:rsidRDefault="003F6EA4">
      <w:pPr>
        <w:spacing w:line="360" w:lineRule="auto"/>
      </w:pPr>
      <w:r>
        <w:t>- снижается спрос на групповые поездки и активизируется индивидуальный туризм;</w:t>
      </w:r>
    </w:p>
    <w:p w:rsidR="00BE613C" w:rsidRDefault="003F6EA4">
      <w:pPr>
        <w:spacing w:line="360" w:lineRule="auto"/>
      </w:pPr>
      <w:r>
        <w:t>- растет так называемый событийный туризм (спортивный, культурный, деловой).</w:t>
      </w:r>
    </w:p>
    <w:p w:rsidR="00BE613C" w:rsidRDefault="003F6EA4">
      <w:pPr>
        <w:spacing w:line="360" w:lineRule="auto"/>
      </w:pPr>
      <w:r>
        <w:t>Одной из основных тенденций развития туризма также является сокращение времени, которое люди смогут выделять на отдых и путешествия при одновременном увеличении объема средств на эти цели. Следовательно, повышенным спросом будет пользоваться туристский продукт, предусматривающий максимум удовольствий и впечатлений за минимум времени.</w:t>
      </w:r>
    </w:p>
    <w:p w:rsidR="00BE613C" w:rsidRDefault="003F6EA4">
      <w:pPr>
        <w:spacing w:line="360" w:lineRule="auto"/>
      </w:pPr>
      <w:r>
        <w:t xml:space="preserve">Развитие городского округа, как туристского центра, представляет собой сложный процесс. Он невозможен без формирования туристского образа городского округа с учетом интереса потенциальных гостей и продвижения этого образа. Важной составляющей является развитие туристской инфраструктуры городского округа, системы услуг для комфортного пребывания туристов. </w:t>
      </w:r>
    </w:p>
    <w:p w:rsidR="00BE613C" w:rsidRDefault="003F6EA4">
      <w:pPr>
        <w:spacing w:line="360" w:lineRule="auto"/>
      </w:pPr>
      <w:r>
        <w:t>На сегодняшний день имеется достаточное количество положительных факторов, которые выделяют городской округ из числа других приморских городов и позитивно влияют на развитие в городском округе въездного и внутреннего туризма:</w:t>
      </w:r>
    </w:p>
    <w:p w:rsidR="00BE613C" w:rsidRDefault="003F6EA4">
      <w:pPr>
        <w:spacing w:line="360" w:lineRule="auto"/>
      </w:pPr>
      <w:r>
        <w:rPr>
          <w:b/>
        </w:rPr>
        <w:t>1)</w:t>
      </w:r>
      <w:r>
        <w:t xml:space="preserve"> </w:t>
      </w:r>
      <w:r>
        <w:rPr>
          <w:b/>
        </w:rPr>
        <w:t xml:space="preserve">Природный и географический потенциал – </w:t>
      </w:r>
    </w:p>
    <w:p w:rsidR="00BE613C" w:rsidRDefault="003F6EA4">
      <w:pPr>
        <w:spacing w:line="360" w:lineRule="auto"/>
      </w:pPr>
      <w:r>
        <w:t xml:space="preserve">Находясь в центральной части Приморского края, городской округ занимает выгодное рекреационно-географическое положение (равноудаленное) для основных населенных пунктов Приморского края, с которыми он связан автомобильными дорогами. Арсеньевский городской округ способен принять и обслужить транзитный грузо-, пассажиропоток, следующий из городов Приморья и зарубежья в северную часть Приморья (Дальнегорск, Терней). Строительство федеральной трассы, минуя г. </w:t>
      </w:r>
      <w:r>
        <w:lastRenderedPageBreak/>
        <w:t xml:space="preserve">Уссурийск значительно сократило расстояние от столицы края – г. Владивостока до        г. Арсеньева, время поездки составляет 2,5-3ч. В результате существует близость для потенциального клиента из Владивостока, Хабаровска и других городов Дальнего Востока. Помимо преимуществ географического положения городской округ обладает благоприятными климатическими условиями, разнообразием рельефа (сопка Озорная), водными объектами (по территории города протекает две реки – Дачная и Арсеньевка) и богатой природой, как в городской черте, так и на территории близлежащих районов. </w:t>
      </w:r>
    </w:p>
    <w:p w:rsidR="00BE613C" w:rsidRDefault="003F6EA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2) Наличие туристическо - рекреационных зон - 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 xml:space="preserve">Туристическо - рекреационные зоны являются условно выделенными участками городской территории, которые обладают целым набором признаков, удовлетворяющих интересам туристов 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 xml:space="preserve">Городской округ в значительной степени можно рассматривать как экспериментальную площадку, на которой будут отрабатываться новые технологии в туризме. 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 xml:space="preserve">Для формирования спортивно-оздоровительного комплекса необходима реализация трех инвестиционных проектов: </w:t>
      </w:r>
    </w:p>
    <w:p w:rsidR="00BE613C" w:rsidRDefault="003F6EA4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>
        <w:rPr>
          <w:color w:val="000000"/>
        </w:rPr>
        <w:t>Создание горнолыжного комплекса на сопке «Обзорная»;</w:t>
      </w:r>
    </w:p>
    <w:p w:rsidR="00BE613C" w:rsidRDefault="003F6EA4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>
        <w:rPr>
          <w:color w:val="000000"/>
        </w:rPr>
        <w:t>Реконструкция спортивно-оздоровительной базы «Салют»;</w:t>
      </w:r>
    </w:p>
    <w:p w:rsidR="00BE613C" w:rsidRDefault="003F6EA4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>
        <w:rPr>
          <w:color w:val="000000"/>
        </w:rPr>
        <w:t>Создание музея авиации под открытым небом на базе НП «Дальневосточный музей авиации»;</w:t>
      </w:r>
    </w:p>
    <w:p w:rsidR="00BE613C" w:rsidRDefault="003F6EA4">
      <w:pPr>
        <w:widowControl/>
        <w:numPr>
          <w:ilvl w:val="0"/>
          <w:numId w:val="2"/>
        </w:numPr>
        <w:spacing w:line="360" w:lineRule="auto"/>
        <w:ind w:left="0" w:firstLine="709"/>
        <w:rPr>
          <w:color w:val="000000"/>
        </w:rPr>
      </w:pPr>
      <w:r>
        <w:rPr>
          <w:color w:val="000000"/>
        </w:rPr>
        <w:t>Строительство крытого тренировочного катка.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>Предварительный анализ показал, что можно выделить 4 основных территории, пригодных для данной специализации. Эти территории обладают своеобразием природных ландшафтов, привлекательностью, в какой-то мере богатством архитектурного и историко-культурного наследия и, самое главное, наличием инфраструктуры туризма. Это предполагает следующие варианты их использования: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 xml:space="preserve">1) Сопка Обзорная, где в настоящее время размещена горнолыжная база; 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>2) МАУ ЦТО «Салют» и трассы для занятия беговыми лыжами – под размещение базы зимних видов спорта;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>3) Территория Дальневосточного авиационного музея под открытым небом (рядом с ПАО ААК «Прогресс»).</w:t>
      </w:r>
    </w:p>
    <w:p w:rsidR="00BE613C" w:rsidRDefault="003F6EA4">
      <w:pPr>
        <w:spacing w:line="360" w:lineRule="auto"/>
      </w:pPr>
      <w:r>
        <w:rPr>
          <w:color w:val="000000"/>
        </w:rPr>
        <w:t>4) Крытый тренировочный каток (физкультурно-спортивный центр «Восток»)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lastRenderedPageBreak/>
        <w:t>Для создания полноценного туристического комплекса на территории городского округа планируется дальнейшее развитие еще 2 функциональных туристско-рекреационных зон: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 xml:space="preserve">          1) Парковая зона «Аскольд» (лесной массив, теннисные корты);</w:t>
      </w:r>
    </w:p>
    <w:p w:rsidR="00BE613C" w:rsidRDefault="003F6EA4">
      <w:pPr>
        <w:spacing w:line="360" w:lineRule="auto"/>
        <w:rPr>
          <w:color w:val="000000"/>
        </w:rPr>
      </w:pPr>
      <w:r>
        <w:rPr>
          <w:color w:val="000000"/>
        </w:rPr>
        <w:t>2) Парковая зона «Восток» (зона аттракционов, «аквапарк» на территории бассейна и прилегающей к нему, детская площадка, зеленая зона).</w:t>
      </w:r>
    </w:p>
    <w:p w:rsidR="00BE613C" w:rsidRDefault="003F6EA4">
      <w:pPr>
        <w:spacing w:line="360" w:lineRule="auto"/>
      </w:pPr>
      <w:r>
        <w:rPr>
          <w:b/>
          <w:color w:val="000000"/>
        </w:rPr>
        <w:t>3) Исторически сложившийся образ Арсеньева</w:t>
      </w:r>
      <w:r>
        <w:rPr>
          <w:color w:val="000000"/>
        </w:rPr>
        <w:t xml:space="preserve">- легенда о дружбе великого путешественника и исследователя Дальнего Востока В.К.Арсеньева с местным аборигеном Дерсу Узала, известна в России и за рубежом, а его современная история подтверждает статус уникальной территории – «города «Черных акул» и «спортивной столицы Приморья». </w:t>
      </w:r>
    </w:p>
    <w:p w:rsidR="00BE613C" w:rsidRDefault="003F6EA4">
      <w:pPr>
        <w:spacing w:line="360" w:lineRule="auto"/>
      </w:pPr>
      <w:r>
        <w:rPr>
          <w:color w:val="000000"/>
        </w:rPr>
        <w:t xml:space="preserve">Туристы, как правило, предпочитают виды отдыха, вызывающие острые ощущения и оставляющие заметный эмоциональный след на достаточно долгое время. Следовательно, необходимо использовать местный колорит, природные, исторические и культурные особенности для формирования "легенды места" как важной составной части </w:t>
      </w:r>
      <w:r>
        <w:rPr>
          <w:color w:val="000000"/>
          <w:lang w:val="en-US"/>
        </w:rPr>
        <w:t>PR</w:t>
      </w:r>
      <w:r>
        <w:rPr>
          <w:color w:val="000000"/>
        </w:rPr>
        <w:t>-кампании. Большую роль играют те событийные мероприятия, доступ к которым турист может получить только здесь, и нигде более.</w:t>
      </w:r>
    </w:p>
    <w:p w:rsidR="00BE613C" w:rsidRDefault="003F6EA4">
      <w:pPr>
        <w:spacing w:line="360" w:lineRule="auto"/>
      </w:pPr>
      <w:r>
        <w:rPr>
          <w:b/>
          <w:color w:val="000000"/>
        </w:rPr>
        <w:t>4) Жители города обладают высоким интеллектуальным и тво</w:t>
      </w:r>
      <w:r>
        <w:rPr>
          <w:b/>
        </w:rPr>
        <w:t>рческим</w:t>
      </w:r>
      <w:r>
        <w:t xml:space="preserve"> </w:t>
      </w:r>
      <w:r>
        <w:rPr>
          <w:b/>
        </w:rPr>
        <w:t>потенциалом</w:t>
      </w:r>
      <w:r>
        <w:t xml:space="preserve">. В городе функционирует одна из лучших в Приморском крае систем начального и среднего образования. Система профессионального образования представлена учреждением высшего образования – филиалом ДВФУ, одним учреждением среднего специального образования и одним средним профессиональным училищем, которые готовят для организаций города кадры по большему перечню специальностей, в т.ч. специалистов по социально-культурному сервису и туризму. </w:t>
      </w:r>
    </w:p>
    <w:p w:rsidR="00BE613C" w:rsidRDefault="003F6EA4">
      <w:pPr>
        <w:spacing w:line="360" w:lineRule="auto"/>
      </w:pPr>
      <w:r>
        <w:rPr>
          <w:b/>
        </w:rPr>
        <w:t>5) Культура современного Арсеньева</w:t>
      </w:r>
      <w:r>
        <w:t xml:space="preserve"> выстроена таким образом, что стала открытой для представителей других регионов. В городском округе накоплен большой опыт проведения культурных, спортивных и деловых мероприятий, в т.ч. всероссийского и международного масштабов, есть необходимые для этого ресурсы, подготовлена инфраструктура транспорта, связи, размещения и обслуживания. Эту инфраструктуру можно и нужно использовать, и развивать в интересах города.</w:t>
      </w:r>
    </w:p>
    <w:p w:rsidR="00BE613C" w:rsidRDefault="003F6EA4">
      <w:pPr>
        <w:pStyle w:val="ae"/>
        <w:spacing w:before="0" w:line="360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6) Наличие туристской инфраструктуры: </w:t>
      </w:r>
    </w:p>
    <w:p w:rsidR="00BE613C" w:rsidRDefault="003F6EA4">
      <w:pPr>
        <w:spacing w:line="360" w:lineRule="auto"/>
      </w:pPr>
      <w:r>
        <w:t xml:space="preserve">- объекты экскурсионного туризма (в том числе </w:t>
      </w:r>
      <w:r>
        <w:rPr>
          <w:bCs/>
        </w:rPr>
        <w:t>Музей истории г. Арсеньева,</w:t>
      </w:r>
      <w:r>
        <w:t xml:space="preserve"> архитектурный комплекс В.К.Арсеньеву на сопке Увальной, памятники и памятные </w:t>
      </w:r>
      <w:r>
        <w:lastRenderedPageBreak/>
        <w:t>места);</w:t>
      </w:r>
    </w:p>
    <w:p w:rsidR="00BE613C" w:rsidRDefault="003F6EA4">
      <w:pPr>
        <w:spacing w:line="360" w:lineRule="auto"/>
      </w:pPr>
      <w:r>
        <w:t>- объекты и мероприятия зрелищного туризма («Дворец культуры «Прогресс», Детская школа циркового искусства «Весёлая арена», кинотеатр «Космос», периодические объекты выставочной деятельности), соревнования по спидвею, мотокроссу;</w:t>
      </w:r>
    </w:p>
    <w:p w:rsidR="00BE613C" w:rsidRDefault="003F6EA4">
      <w:pPr>
        <w:spacing w:line="360" w:lineRule="auto"/>
      </w:pPr>
      <w:r>
        <w:t>- ресурсы религиозного и паломнического туризма (храмы - Благовещения Пресвятой Богородицы и Михайло-Архангельский);</w:t>
      </w:r>
    </w:p>
    <w:p w:rsidR="00BE613C" w:rsidRDefault="003F6EA4">
      <w:pPr>
        <w:spacing w:line="360" w:lineRule="auto"/>
      </w:pPr>
      <w:r>
        <w:t>- ресурсы познавательного туризма (Центр внешкольной работы, Детская школа искусств).</w:t>
      </w:r>
    </w:p>
    <w:p w:rsidR="00BE613C" w:rsidRDefault="003F6EA4">
      <w:pPr>
        <w:pStyle w:val="ae"/>
        <w:spacing w:before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Однако, основной туристический ресурс городского округа – наличие развитой сети спортивных сооружений следующих организаций:</w:t>
      </w:r>
    </w:p>
    <w:p w:rsidR="00BE613C" w:rsidRDefault="003F6EA4">
      <w:pPr>
        <w:pStyle w:val="ae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«Физкультурно-спортивный центр «Полет»;</w:t>
      </w:r>
    </w:p>
    <w:p w:rsidR="00BE613C" w:rsidRDefault="003F6EA4">
      <w:pPr>
        <w:pStyle w:val="ae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«Физкультурно-спортивный центр «Юность»;</w:t>
      </w:r>
    </w:p>
    <w:p w:rsidR="00BE613C" w:rsidRDefault="003F6EA4">
      <w:pPr>
        <w:pStyle w:val="ae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«Физкультурно-спортивный центр «Богатырь»;</w:t>
      </w:r>
    </w:p>
    <w:p w:rsidR="00BE613C" w:rsidRDefault="003F6EA4">
      <w:pPr>
        <w:pStyle w:val="ae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бюджетное учреждение «Физкультурно-спортивный центр «Восток»;</w:t>
      </w:r>
    </w:p>
    <w:p w:rsidR="00BE613C" w:rsidRDefault="003F6EA4">
      <w:pPr>
        <w:pStyle w:val="ae"/>
        <w:numPr>
          <w:ilvl w:val="0"/>
          <w:numId w:val="3"/>
        </w:numPr>
        <w:spacing w:before="0"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Спортивный центр «Доджо». </w:t>
      </w:r>
    </w:p>
    <w:p w:rsidR="00BE613C" w:rsidRDefault="003F6EA4">
      <w:pPr>
        <w:pStyle w:val="ae"/>
        <w:spacing w:before="0"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Развитию туристской отрасли на территории городского округа способствуют функционирующие предприятия туристской индустрии: гостиницы, базы отдыха, транспортные предприятия, предприятия общественного питания.</w:t>
      </w:r>
    </w:p>
    <w:p w:rsidR="00BE613C" w:rsidRDefault="003F6EA4">
      <w:pPr>
        <w:spacing w:line="360" w:lineRule="auto"/>
      </w:pPr>
      <w:r>
        <w:t>В настоящее время на развитие въездного и внутреннего туризма в городском округе влияет ряд негативных факторов таких, как:</w:t>
      </w:r>
    </w:p>
    <w:p w:rsidR="00BE613C" w:rsidRDefault="003F6EA4">
      <w:pPr>
        <w:spacing w:line="360" w:lineRule="auto"/>
      </w:pPr>
      <w:r>
        <w:t xml:space="preserve">1) структура туристского рынка смещена в сторону выездного туризма как направления, не требующего капиталовложений в туристскую инфраструктуру и создание туристского продукта. Городской округ имеет отрицательное сальдо по туристским потокам; </w:t>
      </w:r>
    </w:p>
    <w:p w:rsidR="00BE613C" w:rsidRDefault="003F6EA4">
      <w:pPr>
        <w:spacing w:line="360" w:lineRule="auto"/>
      </w:pPr>
      <w:r>
        <w:t>2) недостаточный уровень развития туристкой инфраструктуры и недостаток разнообразия объектов туристского показа;</w:t>
      </w:r>
    </w:p>
    <w:p w:rsidR="00BE613C" w:rsidRDefault="003F6EA4">
      <w:pPr>
        <w:spacing w:line="360" w:lineRule="auto"/>
      </w:pPr>
      <w:r>
        <w:t>3) недостаточный уровень доступности к туристическим объектам, в т.ч. недостаточность туристских навигационных знаков;</w:t>
      </w:r>
    </w:p>
    <w:p w:rsidR="00BE613C" w:rsidRDefault="003F6EA4">
      <w:pPr>
        <w:spacing w:line="360" w:lineRule="auto"/>
      </w:pPr>
      <w:r>
        <w:lastRenderedPageBreak/>
        <w:t>4) негативное влияние сезонного фактора (лето – «мертвый» сезон);</w:t>
      </w:r>
    </w:p>
    <w:p w:rsidR="00BE613C" w:rsidRDefault="003F6EA4">
      <w:pPr>
        <w:spacing w:line="360" w:lineRule="auto"/>
      </w:pPr>
      <w:r>
        <w:t>5) низкий уровень маркетинга и рекламы рекреационно-туристических услуг городского округа, отсутствие продуманного комплекса информационных и представительских материалов о г.Арсеньеве, ассортимента сувениров.</w:t>
      </w:r>
    </w:p>
    <w:p w:rsidR="00BE613C" w:rsidRDefault="003F6EA4">
      <w:pPr>
        <w:spacing w:line="360" w:lineRule="auto"/>
      </w:pPr>
      <w:r>
        <w:t>Анализ состояния сферы туризма на территории городского округа представлен в таблице.</w:t>
      </w:r>
    </w:p>
    <w:p w:rsidR="00BE613C" w:rsidRPr="00A149D2" w:rsidRDefault="00BE613C">
      <w:pPr>
        <w:widowControl/>
        <w:suppressAutoHyphens/>
        <w:overflowPunct/>
        <w:ind w:firstLine="0"/>
        <w:jc w:val="left"/>
        <w:rPr>
          <w:rFonts w:eastAsia="NSimSun"/>
          <w:b/>
          <w:bCs/>
          <w:spacing w:val="-2"/>
          <w:kern w:val="2"/>
          <w:sz w:val="24"/>
          <w:szCs w:val="24"/>
          <w:lang w:eastAsia="zh-CN" w:bidi="hi-IN"/>
        </w:rPr>
      </w:pPr>
    </w:p>
    <w:p w:rsidR="00BE613C" w:rsidRDefault="003F6EA4">
      <w:pPr>
        <w:widowControl/>
        <w:suppressAutoHyphens/>
        <w:overflowPunct/>
        <w:ind w:firstLine="0"/>
        <w:jc w:val="center"/>
      </w:pPr>
      <w:r>
        <w:rPr>
          <w:rFonts w:eastAsia="NSimSun"/>
          <w:b/>
          <w:bCs/>
          <w:spacing w:val="-2"/>
          <w:kern w:val="2"/>
          <w:sz w:val="24"/>
          <w:szCs w:val="24"/>
          <w:lang w:val="en-US" w:eastAsia="zh-CN" w:bidi="hi-IN"/>
        </w:rPr>
        <w:t>SWOT</w:t>
      </w:r>
      <w:r>
        <w:rPr>
          <w:rFonts w:eastAsia="NSimSun"/>
          <w:b/>
          <w:bCs/>
          <w:spacing w:val="-2"/>
          <w:kern w:val="2"/>
          <w:sz w:val="24"/>
          <w:szCs w:val="24"/>
          <w:lang w:eastAsia="zh-CN" w:bidi="hi-IN"/>
        </w:rPr>
        <w:t xml:space="preserve"> </w:t>
      </w:r>
      <w:r>
        <w:rPr>
          <w:b/>
          <w:bCs/>
          <w:spacing w:val="-2"/>
          <w:kern w:val="2"/>
          <w:sz w:val="24"/>
          <w:szCs w:val="24"/>
          <w:lang w:eastAsia="zh-CN" w:bidi="hi-IN"/>
        </w:rPr>
        <w:t>анализ развития туризма</w:t>
      </w:r>
    </w:p>
    <w:p w:rsidR="00BE613C" w:rsidRDefault="00BE613C">
      <w:pPr>
        <w:widowControl/>
        <w:suppressAutoHyphens/>
        <w:overflowPunct/>
        <w:ind w:firstLine="0"/>
        <w:jc w:val="left"/>
        <w:rPr>
          <w:rFonts w:ascii="Liberation Serif" w:eastAsia="NSimSun" w:hAnsi="Liberation Serif" w:cs="Arial"/>
          <w:b/>
          <w:bCs/>
          <w:spacing w:val="-2"/>
          <w:kern w:val="2"/>
          <w:sz w:val="24"/>
          <w:szCs w:val="24"/>
          <w:lang w:eastAsia="zh-CN" w:bidi="hi-IN"/>
        </w:rPr>
      </w:pPr>
    </w:p>
    <w:tbl>
      <w:tblPr>
        <w:tblW w:w="9827" w:type="dxa"/>
        <w:tblInd w:w="59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31" w:type="dxa"/>
          <w:right w:w="40" w:type="dxa"/>
        </w:tblCellMar>
        <w:tblLook w:val="0000" w:firstRow="0" w:lastRow="0" w:firstColumn="0" w:lastColumn="0" w:noHBand="0" w:noVBand="0"/>
      </w:tblPr>
      <w:tblGrid>
        <w:gridCol w:w="4789"/>
        <w:gridCol w:w="5038"/>
      </w:tblGrid>
      <w:tr w:rsidR="00BE613C">
        <w:trPr>
          <w:trHeight w:hRule="exact" w:val="298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ind w:left="360" w:firstLine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Сильные стороны </w:t>
            </w:r>
            <w:r>
              <w:rPr>
                <w:b/>
                <w:bCs/>
                <w:kern w:val="2"/>
                <w:sz w:val="24"/>
                <w:szCs w:val="24"/>
                <w:lang w:val="en-US" w:eastAsia="zh-CN" w:bidi="hi-IN"/>
              </w:rPr>
              <w:t>(S)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ind w:left="355" w:firstLine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 w:bidi="hi-IN"/>
              </w:rPr>
              <w:t>Слабые стороны (О)</w:t>
            </w:r>
          </w:p>
        </w:tc>
      </w:tr>
      <w:tr w:rsidR="00BE613C">
        <w:trPr>
          <w:trHeight w:hRule="exact" w:val="842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jc w:val="lef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Наличие инфраструктуры муниципальных учреждений физической культуры и спорта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Низкая материально-техническая база муниципальных учреждений обеспечивающих досуг населения</w:t>
            </w:r>
          </w:p>
        </w:tc>
      </w:tr>
      <w:tr w:rsidR="00BE613C">
        <w:trPr>
          <w:trHeight w:hRule="exact" w:val="1123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jc w:val="lef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spacing w:val="-2"/>
                <w:kern w:val="2"/>
                <w:sz w:val="24"/>
                <w:szCs w:val="24"/>
                <w:lang w:eastAsia="zh-CN" w:bidi="hi-IN"/>
              </w:rPr>
              <w:t xml:space="preserve">Наличие системы </w:t>
            </w:r>
            <w:r>
              <w:rPr>
                <w:spacing w:val="-1"/>
                <w:kern w:val="2"/>
                <w:sz w:val="24"/>
                <w:szCs w:val="24"/>
                <w:lang w:eastAsia="zh-CN" w:bidi="hi-IN"/>
              </w:rPr>
              <w:t xml:space="preserve">проведения   культурно-   массовых </w:t>
            </w:r>
            <w:r>
              <w:rPr>
                <w:kern w:val="2"/>
                <w:sz w:val="24"/>
                <w:szCs w:val="24"/>
                <w:lang w:eastAsia="zh-CN" w:bidi="hi-IN"/>
              </w:rPr>
              <w:t>мероприятий,      обеспечивающих досуг населения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Отсутствие единого информационного пространства в сфере туризма, низкий уровень информационного сопровождения деятельности учреждений</w:t>
            </w:r>
          </w:p>
        </w:tc>
      </w:tr>
      <w:tr w:rsidR="00BE613C">
        <w:trPr>
          <w:trHeight w:hRule="exact" w:val="845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jc w:val="lef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Наличие на территории города культурного и культурно-исторического наследия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Кадровый дефицит (кадровое старение в педагогических коллективах; отток кадров в учреждениях культурно-досугового типа)</w:t>
            </w:r>
          </w:p>
        </w:tc>
      </w:tr>
      <w:tr w:rsidR="00BE613C">
        <w:trPr>
          <w:trHeight w:hRule="exact" w:val="288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ind w:left="360" w:firstLine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 w:bidi="hi-IN"/>
              </w:rPr>
              <w:t xml:space="preserve">Возможности </w:t>
            </w:r>
            <w:r>
              <w:rPr>
                <w:b/>
                <w:bCs/>
                <w:kern w:val="2"/>
                <w:sz w:val="24"/>
                <w:szCs w:val="24"/>
                <w:lang w:val="en-US" w:eastAsia="zh-CN" w:bidi="hi-IN"/>
              </w:rPr>
              <w:t>(W)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ind w:left="355" w:firstLine="0"/>
              <w:jc w:val="center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kern w:val="2"/>
                <w:sz w:val="24"/>
                <w:szCs w:val="24"/>
                <w:lang w:eastAsia="zh-CN" w:bidi="hi-IN"/>
              </w:rPr>
              <w:t>Угрозы (Т)</w:t>
            </w:r>
          </w:p>
        </w:tc>
      </w:tr>
      <w:tr w:rsidR="00BE613C">
        <w:trPr>
          <w:trHeight w:hRule="exact" w:val="1644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8" w:lineRule="exact"/>
              <w:ind w:firstLine="0"/>
              <w:jc w:val="lef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Развитие    частного    бизнеса    в    сфере туризма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8" w:lineRule="exact"/>
              <w:ind w:firstLine="0"/>
            </w:pPr>
            <w:r>
              <w:rPr>
                <w:kern w:val="2"/>
                <w:sz w:val="24"/>
                <w:szCs w:val="24"/>
                <w:lang w:eastAsia="zh-CN" w:bidi="hi-IN"/>
              </w:rPr>
              <w:t>Недостаточное финансовое обеспечение муниципальных учреждений культуры и спорта;</w:t>
            </w:r>
          </w:p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</w:pPr>
            <w:r>
              <w:rPr>
                <w:rFonts w:eastAsia="NSimSun" w:cs="Arial"/>
                <w:kern w:val="2"/>
                <w:sz w:val="24"/>
                <w:szCs w:val="24"/>
                <w:lang w:eastAsia="zh-CN" w:bidi="hi-IN"/>
              </w:rPr>
              <w:t>Низкая заинтересованность внутренних инвесторов в коммерциализации туристических проектов</w:t>
            </w:r>
          </w:p>
        </w:tc>
      </w:tr>
      <w:tr w:rsidR="00BE613C">
        <w:trPr>
          <w:trHeight w:hRule="exact" w:val="1114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jc w:val="left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Сохранение и популяризация культурного </w:t>
            </w:r>
            <w:r>
              <w:rPr>
                <w:spacing w:val="-2"/>
                <w:kern w:val="2"/>
                <w:sz w:val="24"/>
                <w:szCs w:val="24"/>
                <w:lang w:eastAsia="zh-CN" w:bidi="hi-IN"/>
              </w:rPr>
              <w:t xml:space="preserve">наследия народов Российской Федерации на </w:t>
            </w:r>
            <w:r>
              <w:rPr>
                <w:kern w:val="2"/>
                <w:sz w:val="24"/>
                <w:szCs w:val="24"/>
                <w:lang w:eastAsia="zh-CN" w:bidi="hi-IN"/>
              </w:rPr>
              <w:t>территории городского округа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 xml:space="preserve">Дефицит специалистов, способных осуществлять эффективный менеджмент и </w:t>
            </w:r>
            <w:r>
              <w:rPr>
                <w:spacing w:val="-1"/>
                <w:kern w:val="2"/>
                <w:sz w:val="24"/>
                <w:szCs w:val="24"/>
                <w:lang w:eastAsia="zh-CN" w:bidi="hi-IN"/>
              </w:rPr>
              <w:t xml:space="preserve">коммерциализацию культурно-исторического </w:t>
            </w:r>
            <w:r>
              <w:rPr>
                <w:kern w:val="2"/>
                <w:sz w:val="24"/>
                <w:szCs w:val="24"/>
                <w:lang w:eastAsia="zh-CN" w:bidi="hi-IN"/>
              </w:rPr>
              <w:t>наследия города</w:t>
            </w:r>
          </w:p>
        </w:tc>
      </w:tr>
      <w:tr w:rsidR="00BE613C">
        <w:trPr>
          <w:trHeight w:hRule="exact" w:val="1114"/>
        </w:trPr>
        <w:tc>
          <w:tcPr>
            <w:tcW w:w="4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jc w:val="left"/>
            </w:pPr>
            <w:r>
              <w:rPr>
                <w:kern w:val="2"/>
                <w:sz w:val="24"/>
                <w:szCs w:val="24"/>
                <w:lang w:eastAsia="zh-CN" w:bidi="hi-IN"/>
              </w:rPr>
              <w:t>Разработка         новых         туристических маршрутов, интеграция в региональную и межрегиональную  сеть туристских маршрутов</w:t>
            </w:r>
          </w:p>
        </w:tc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613C" w:rsidRDefault="003F6EA4">
            <w:pPr>
              <w:widowControl/>
              <w:suppressAutoHyphens/>
              <w:overflowPunct/>
              <w:spacing w:line="274" w:lineRule="exact"/>
              <w:ind w:firstLine="0"/>
              <w:rPr>
                <w:rFonts w:ascii="Liberation Serif" w:eastAsia="NSimSun" w:hAnsi="Liberation Serif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kern w:val="2"/>
                <w:sz w:val="24"/>
                <w:szCs w:val="24"/>
                <w:lang w:eastAsia="zh-CN" w:bidi="hi-IN"/>
              </w:rPr>
              <w:t>Недостаточный ассортимент культурных и спортивных событий</w:t>
            </w:r>
          </w:p>
        </w:tc>
      </w:tr>
    </w:tbl>
    <w:p w:rsidR="00BE613C" w:rsidRDefault="00BE613C">
      <w:pPr>
        <w:ind w:firstLine="660"/>
      </w:pPr>
    </w:p>
    <w:p w:rsidR="00BE613C" w:rsidRDefault="003F6EA4">
      <w:pPr>
        <w:spacing w:line="360" w:lineRule="auto"/>
      </w:pPr>
      <w:r>
        <w:t>Преодоление вышеуказанных проблем, создание и развитие конкурентоспособной туристской отрасли на территории городского округа,  как одной из ведущих, приоритетных отраслей экономики,  что обеспечит с одной стороны - удовлетворение спроса потребителей и с другой стороны - весомый вклад в социально-экономическое развитие городского округа за счет увеличения притока инвестиций, увеличения числа рабочих мест, доходной части бюджета городского округа, улучшения здоровья населения, сохранения и рационального использования культурно-исторического и природного наследия,  возможно программно-целевым методом, для этого разработана настоящая Программа.</w:t>
      </w:r>
    </w:p>
    <w:p w:rsidR="00BE613C" w:rsidRDefault="00BE613C">
      <w:pPr>
        <w:ind w:firstLine="0"/>
        <w:jc w:val="center"/>
        <w:rPr>
          <w:b/>
        </w:rPr>
      </w:pPr>
    </w:p>
    <w:p w:rsidR="00BE613C" w:rsidRDefault="003F6EA4">
      <w:pPr>
        <w:ind w:firstLine="0"/>
        <w:jc w:val="center"/>
      </w:pPr>
      <w:r>
        <w:rPr>
          <w:b/>
        </w:rPr>
        <w:t>2. Цели и задачи Программы</w:t>
      </w:r>
    </w:p>
    <w:p w:rsidR="00BE613C" w:rsidRDefault="00BE613C">
      <w:pPr>
        <w:ind w:firstLine="0"/>
        <w:jc w:val="center"/>
        <w:rPr>
          <w:b/>
        </w:rPr>
      </w:pPr>
    </w:p>
    <w:p w:rsidR="00BE613C" w:rsidRDefault="003F6EA4">
      <w:pPr>
        <w:spacing w:line="360" w:lineRule="auto"/>
      </w:pPr>
      <w:r>
        <w:t>Цели:</w:t>
      </w:r>
    </w:p>
    <w:p w:rsidR="00BE613C" w:rsidRDefault="003F6EA4">
      <w:pPr>
        <w:spacing w:line="360" w:lineRule="auto"/>
      </w:pPr>
      <w:r>
        <w:t>1) Создание благоприятных условий для оздоровления и отдыха жителей и гостей города.</w:t>
      </w:r>
    </w:p>
    <w:p w:rsidR="00BE613C" w:rsidRDefault="003F6EA4">
      <w:pPr>
        <w:spacing w:line="360" w:lineRule="auto"/>
      </w:pPr>
      <w:r>
        <w:t>2) Создание действующего механизма привлечения и приема туристов в городе, формирование туристского продукта совместно с близлежащими территориями и его продвижение на российском рынке.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Измерение достижения поставленных целей осуществляется исполнением целевых показателей, предусмотренных приложением № 2 к Программе. При неисполнении целевых показателей в полном объеме цель не будет достигнута, в данном случае программа не будет эффективной. 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Достижение поставленных целей осуществляется путем решения следующих задач: 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1. Развитие инфраструктуры туристических услуг на территории   городского округа. 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2. Позиционирование городского округа как привлекательной территории для туризма и отдыха.                                                          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3. Приток инвестиций в сфере туризма, создание новых рабочих мест, увеличение доходов от туристической деятельности. 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 xml:space="preserve">                               </w:t>
      </w:r>
    </w:p>
    <w:p w:rsidR="00BE613C" w:rsidRDefault="003F6EA4">
      <w:pPr>
        <w:pStyle w:val="ConsPlusNonformat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Cs w:val="26"/>
        </w:rPr>
      </w:pPr>
      <w:r>
        <w:rPr>
          <w:rFonts w:ascii="Times New Roman" w:hAnsi="Times New Roman" w:cs="Times New Roman"/>
          <w:b/>
          <w:szCs w:val="26"/>
        </w:rPr>
        <w:t>Целевые индикаторы и показатели Программы</w:t>
      </w:r>
    </w:p>
    <w:p w:rsidR="00BE613C" w:rsidRDefault="00BE613C">
      <w:pPr>
        <w:pStyle w:val="ConsPlusNonformat"/>
        <w:widowControl/>
        <w:ind w:left="786" w:firstLine="709"/>
        <w:rPr>
          <w:rFonts w:ascii="Times New Roman" w:hAnsi="Times New Roman" w:cs="Times New Roman"/>
          <w:b/>
          <w:szCs w:val="26"/>
        </w:rPr>
      </w:pP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Целевые показатели (индикаторы) муниципальной программы соответствуют ее приоритетам, целям и задачам и позволяют прогнозировать конкретные результаты выполнения программы по годам, а также эффективность деятельности органов местного самоуправления Арсеньевского городского округа в сфере туризма.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Целевые показатели (индикаторы) мероприятий Программы по годам реализации представлены в Приложении № 2 к настоящей Программе.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>Выполнение мероприятий муниципальной программы приведет к достижению следующих целевых показателей муниципальной программы: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Cs w:val="26"/>
        </w:rPr>
        <w:t>- увеличение численности граждан России и иностранных граждан, размещенных в коллективных средствах размещения на 12%;</w:t>
      </w:r>
    </w:p>
    <w:p w:rsidR="00BE613C" w:rsidRDefault="003F6EA4">
      <w:pPr>
        <w:pStyle w:val="ConsPlusNonformat"/>
        <w:widowControl/>
        <w:spacing w:line="360" w:lineRule="auto"/>
        <w:ind w:firstLine="709"/>
        <w:jc w:val="both"/>
      </w:pPr>
      <w:r>
        <w:rPr>
          <w:rFonts w:ascii="Times New Roman" w:hAnsi="Times New Roman" w:cs="Times New Roman"/>
          <w:szCs w:val="26"/>
        </w:rPr>
        <w:lastRenderedPageBreak/>
        <w:t xml:space="preserve">- увеличение коэффициента заполняемости номерного фонда в коллективных средствах размещения </w:t>
      </w:r>
    </w:p>
    <w:p w:rsidR="00BE613C" w:rsidRDefault="003F6EA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на 1%; </w:t>
      </w:r>
    </w:p>
    <w:p w:rsidR="00BE613C" w:rsidRDefault="003F6EA4">
      <w:pPr>
        <w:pStyle w:val="ConsPlusNonformat"/>
        <w:widowControl/>
        <w:spacing w:line="360" w:lineRule="auto"/>
        <w:ind w:firstLine="709"/>
      </w:pPr>
      <w:r>
        <w:rPr>
          <w:rFonts w:ascii="Times New Roman" w:hAnsi="Times New Roman" w:cs="Times New Roman"/>
          <w:szCs w:val="26"/>
        </w:rPr>
        <w:t xml:space="preserve">- увеличение объема платных туристских услуг на 10,6%; </w:t>
      </w:r>
    </w:p>
    <w:p w:rsidR="00BE613C" w:rsidRDefault="003F6EA4">
      <w:pPr>
        <w:pStyle w:val="ConsPlusNonformat"/>
        <w:widowControl/>
        <w:spacing w:line="360" w:lineRule="auto"/>
        <w:ind w:firstLine="709"/>
      </w:pPr>
      <w:r>
        <w:rPr>
          <w:rFonts w:ascii="Times New Roman" w:hAnsi="Times New Roman" w:cs="Times New Roman"/>
          <w:szCs w:val="26"/>
        </w:rPr>
        <w:t>- увеличение количества мероприятий туристической направленности -  2 ед.;</w:t>
      </w:r>
    </w:p>
    <w:p w:rsidR="00BE613C" w:rsidRDefault="003F6EA4">
      <w:pPr>
        <w:pStyle w:val="ConsPlusNonformat"/>
        <w:widowControl/>
        <w:spacing w:line="360" w:lineRule="auto"/>
        <w:ind w:firstLine="709"/>
      </w:pPr>
      <w:r>
        <w:rPr>
          <w:rFonts w:ascii="Times New Roman" w:hAnsi="Times New Roman" w:cs="Times New Roman"/>
          <w:szCs w:val="26"/>
        </w:rPr>
        <w:t>- установка баннеров — 3 ед.;</w:t>
      </w:r>
    </w:p>
    <w:p w:rsidR="00BE613C" w:rsidRDefault="003F6EA4">
      <w:pPr>
        <w:pStyle w:val="ConsPlusNonformat"/>
        <w:widowControl/>
        <w:tabs>
          <w:tab w:val="left" w:pos="855"/>
        </w:tabs>
        <w:spacing w:line="360" w:lineRule="auto"/>
        <w:ind w:firstLine="709"/>
        <w:jc w:val="both"/>
      </w:pPr>
      <w:r>
        <w:rPr>
          <w:rFonts w:ascii="Times New Roman" w:hAnsi="Times New Roman" w:cs="Times New Roman"/>
          <w:szCs w:val="26"/>
        </w:rPr>
        <w:t>-доля граждан, удовлетворенных развитием внутреннего туризма на территории Арсеньевского городского округа от общего количества опрошенных -37%.</w:t>
      </w:r>
    </w:p>
    <w:p w:rsidR="00BE613C" w:rsidRDefault="00BE613C">
      <w:pPr>
        <w:pStyle w:val="ConsPlusNonformat"/>
        <w:widowControl/>
        <w:spacing w:line="360" w:lineRule="auto"/>
        <w:ind w:firstLine="660"/>
        <w:jc w:val="both"/>
        <w:rPr>
          <w:rFonts w:ascii="Times New Roman" w:hAnsi="Times New Roman" w:cs="Times New Roman"/>
          <w:szCs w:val="26"/>
        </w:rPr>
      </w:pPr>
    </w:p>
    <w:p w:rsidR="00BE613C" w:rsidRDefault="003F6EA4">
      <w:pPr>
        <w:pStyle w:val="ConsPlusNonformat"/>
        <w:widowControl/>
        <w:spacing w:line="360" w:lineRule="auto"/>
        <w:ind w:firstLine="709"/>
        <w:jc w:val="center"/>
      </w:pPr>
      <w:r>
        <w:rPr>
          <w:rFonts w:ascii="Times New Roman" w:hAnsi="Times New Roman" w:cs="Times New Roman"/>
          <w:b/>
          <w:szCs w:val="26"/>
        </w:rPr>
        <w:t>4. Обобщенная характеристика мероприятий Программы</w:t>
      </w:r>
    </w:p>
    <w:p w:rsidR="00BE613C" w:rsidRDefault="003F6EA4">
      <w:pPr>
        <w:spacing w:line="360" w:lineRule="auto"/>
      </w:pPr>
      <w:r>
        <w:t>Программа содержит мероприятия, сгруппированные по двум разделам. Основные разделы мероприятий Программы сформированы с учетом проблем, требующих решения на местном уровне.</w:t>
      </w:r>
    </w:p>
    <w:p w:rsidR="00BE613C" w:rsidRDefault="00BE613C">
      <w:pPr>
        <w:spacing w:line="360" w:lineRule="auto"/>
      </w:pPr>
    </w:p>
    <w:p w:rsidR="00BE613C" w:rsidRDefault="003F6EA4">
      <w:pPr>
        <w:tabs>
          <w:tab w:val="left" w:pos="6120"/>
        </w:tabs>
        <w:overflowPunct/>
        <w:ind w:firstLine="0"/>
        <w:jc w:val="center"/>
        <w:rPr>
          <w:b/>
        </w:rPr>
      </w:pPr>
      <w:r>
        <w:rPr>
          <w:b/>
        </w:rPr>
        <w:t xml:space="preserve">Перечень и краткое описание мероприятий, реализуемых в составе </w:t>
      </w:r>
    </w:p>
    <w:p w:rsidR="00BE613C" w:rsidRDefault="003F6EA4">
      <w:pPr>
        <w:tabs>
          <w:tab w:val="left" w:pos="2705"/>
        </w:tabs>
        <w:overflowPunct/>
        <w:ind w:right="57" w:firstLine="0"/>
        <w:jc w:val="center"/>
        <w:rPr>
          <w:b/>
        </w:rPr>
      </w:pPr>
      <w:r>
        <w:rPr>
          <w:b/>
        </w:rPr>
        <w:t xml:space="preserve">муниципальной программы </w:t>
      </w:r>
    </w:p>
    <w:p w:rsidR="00BE613C" w:rsidRDefault="00BE613C">
      <w:pPr>
        <w:overflowPunct/>
        <w:ind w:firstLine="540"/>
        <w:jc w:val="center"/>
      </w:pPr>
    </w:p>
    <w:tbl>
      <w:tblPr>
        <w:tblW w:w="10167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509"/>
        <w:gridCol w:w="3168"/>
        <w:gridCol w:w="1735"/>
        <w:gridCol w:w="963"/>
        <w:gridCol w:w="937"/>
        <w:gridCol w:w="2855"/>
      </w:tblGrid>
      <w:tr w:rsidR="00BE613C">
        <w:trPr>
          <w:trHeight w:val="284"/>
          <w:tblHeader/>
          <w:jc w:val="center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п/п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Ожидаемый непосредственный результат </w:t>
            </w:r>
          </w:p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(краткое описание)</w:t>
            </w:r>
          </w:p>
        </w:tc>
      </w:tr>
      <w:tr w:rsidR="00BE613C">
        <w:trPr>
          <w:trHeight w:val="546"/>
          <w:tblHeader/>
          <w:jc w:val="center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BE613C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BE613C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BE613C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120" w:right="-1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 реализации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120" w:right="-126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BE613C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E613C">
        <w:trPr>
          <w:trHeight w:val="1275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Изготовление, монтаж и демонтаж туристского баннера (18 кв.м. ) для социально-рекламного щита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Установка баннеров — 3 ед.</w:t>
            </w:r>
          </w:p>
        </w:tc>
      </w:tr>
      <w:tr w:rsidR="00BE613C">
        <w:trPr>
          <w:trHeight w:val="763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указателей к объектам культурного наследия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численности граждан России и иностранных граждан, размещенных в коллективных средствах размещения на 12%;</w:t>
            </w:r>
          </w:p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коэффициента заполняемости номерного фонда в коллективных средствах размещения </w:t>
            </w:r>
          </w:p>
          <w:p w:rsidR="00BE613C" w:rsidRDefault="003F6EA4">
            <w:pPr>
              <w:tabs>
                <w:tab w:val="left" w:pos="1080"/>
              </w:tabs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1%;</w:t>
            </w:r>
          </w:p>
        </w:tc>
      </w:tr>
      <w:tr w:rsidR="00BE613C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55" w:right="-47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Представление материалов в Департамент туризма Приморского края для формирования информационных, рекламных материалов о туристических ресурсах Арсеньевского </w:t>
            </w:r>
            <w:r>
              <w:rPr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61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объема платных туристских услуг на 10,6%;</w:t>
            </w:r>
          </w:p>
        </w:tc>
      </w:tr>
      <w:tr w:rsidR="00BE613C">
        <w:trPr>
          <w:trHeight w:val="403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объема платных туристских услуг на 10,6%;</w:t>
            </w:r>
          </w:p>
        </w:tc>
      </w:tr>
      <w:tr w:rsidR="00BE613C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Составление и ведение Реестра предприятий инфраструктуры туристического бизнеса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объема платных туристских услуг на 10,6%; </w:t>
            </w:r>
          </w:p>
          <w:p w:rsidR="00BE613C" w:rsidRDefault="003F6EA4">
            <w:pPr>
              <w:tabs>
                <w:tab w:val="left" w:pos="1080"/>
              </w:tabs>
              <w:overflowPunct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</w:tr>
      <w:tr w:rsidR="00BE613C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>Мониторинг общественного мнения о развитии внутреннего туризма на территории Арсеньевского городского округа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59" w:right="-10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граждан, удовлетворенных развитием внутреннего туризма на территории Арсеньевского городского округа от  общего количества опрошенных  - 37%</w:t>
            </w:r>
          </w:p>
        </w:tc>
      </w:tr>
      <w:tr w:rsidR="00BE613C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информационной базы «Гостям города», содержащей основные туристические ресурсы на сайте администрации Арсеньевского городского округа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объема платных туристских услуг на 10,6%;</w:t>
            </w:r>
          </w:p>
          <w:p w:rsidR="00BE613C" w:rsidRDefault="00BE613C">
            <w:pPr>
              <w:overflowPunct/>
              <w:ind w:left="-59" w:right="-104" w:firstLine="0"/>
              <w:jc w:val="center"/>
              <w:rPr>
                <w:sz w:val="22"/>
                <w:szCs w:val="22"/>
              </w:rPr>
            </w:pPr>
          </w:p>
        </w:tc>
      </w:tr>
      <w:tr w:rsidR="00BE613C">
        <w:trPr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46" w:right="-10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мероприятиях туристической направленности, проводимых на территории Арсеньевского городского округа и Приморского края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E613C" w:rsidRDefault="003F6EA4">
            <w:pPr>
              <w:widowControl/>
              <w:overflowPunct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59" w:right="-104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количества мероприятий туристической направленности -  2 ед.;</w:t>
            </w:r>
          </w:p>
        </w:tc>
      </w:tr>
    </w:tbl>
    <w:p w:rsidR="00BE613C" w:rsidRDefault="00BE613C">
      <w:pPr>
        <w:pStyle w:val="ConsPlusNonformat"/>
        <w:widowControl/>
        <w:ind w:left="426" w:firstLine="660"/>
        <w:jc w:val="both"/>
        <w:rPr>
          <w:rFonts w:ascii="Times New Roman" w:hAnsi="Times New Roman" w:cs="Times New Roman"/>
          <w:b/>
          <w:szCs w:val="26"/>
        </w:rPr>
      </w:pPr>
    </w:p>
    <w:p w:rsidR="00BE613C" w:rsidRDefault="00BE613C">
      <w:pPr>
        <w:pStyle w:val="ConsPlusNonformat"/>
        <w:widowControl/>
        <w:ind w:left="426" w:firstLine="660"/>
        <w:jc w:val="both"/>
        <w:rPr>
          <w:rFonts w:ascii="Times New Roman" w:hAnsi="Times New Roman" w:cs="Times New Roman"/>
          <w:b/>
          <w:szCs w:val="26"/>
        </w:rPr>
      </w:pPr>
    </w:p>
    <w:p w:rsidR="00BE613C" w:rsidRDefault="003F6EA4">
      <w:pPr>
        <w:spacing w:line="360" w:lineRule="auto"/>
        <w:jc w:val="center"/>
      </w:pPr>
      <w:r>
        <w:rPr>
          <w:b/>
        </w:rPr>
        <w:t>5. Сроки и этапы реализации Программы</w:t>
      </w:r>
    </w:p>
    <w:p w:rsidR="00BE613C" w:rsidRDefault="003F6EA4">
      <w:pPr>
        <w:spacing w:line="360" w:lineRule="auto"/>
      </w:pPr>
      <w:r>
        <w:t>Программа реализуется в 2020– 2024 годах в один этап с ежегодной реализацией каждого мероприятия программы. С целью достижения запланированных результатов программы период реализации мероприятий составляет пять лет.</w:t>
      </w:r>
    </w:p>
    <w:p w:rsidR="00BE613C" w:rsidRDefault="00BE613C">
      <w:pPr>
        <w:ind w:firstLine="660"/>
        <w:rPr>
          <w:b/>
        </w:rPr>
      </w:pPr>
    </w:p>
    <w:p w:rsidR="00BE613C" w:rsidRDefault="003F6EA4">
      <w:pPr>
        <w:ind w:firstLine="660"/>
        <w:jc w:val="center"/>
        <w:rPr>
          <w:b/>
        </w:rPr>
      </w:pPr>
      <w:r>
        <w:rPr>
          <w:b/>
        </w:rPr>
        <w:t xml:space="preserve">6. Механизм реализации Программы и контроль за ходом её исполнения </w:t>
      </w:r>
    </w:p>
    <w:p w:rsidR="00BE613C" w:rsidRDefault="00BE613C">
      <w:pPr>
        <w:spacing w:line="360" w:lineRule="auto"/>
      </w:pPr>
    </w:p>
    <w:p w:rsidR="00BE613C" w:rsidRDefault="003F6EA4">
      <w:pPr>
        <w:spacing w:line="360" w:lineRule="auto"/>
      </w:pPr>
      <w:r>
        <w:t xml:space="preserve">Реализация мероприятий 1.4-1.7 приложения № 1 к Программе осуществляется без привлечения бюджетных средств. </w:t>
      </w:r>
    </w:p>
    <w:p w:rsidR="00BE613C" w:rsidRDefault="003F6EA4">
      <w:pPr>
        <w:spacing w:line="360" w:lineRule="auto"/>
      </w:pPr>
      <w:r>
        <w:lastRenderedPageBreak/>
        <w:t>Остальные мероприятия, указанные в приложении № 1 к Программе, реализуются путем заключения муниципальных контрактов с поставщиками товаров, работ (услуг) в соответствии с процедурами, предусмотренными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BE613C" w:rsidRDefault="003F6EA4">
      <w:pPr>
        <w:spacing w:line="360" w:lineRule="auto"/>
      </w:pPr>
      <w:r>
        <w:t>Координацию программы осуществляет управление экономики и инвестиций администрации Арсеньевского городского округа. Комплексный контроль за исполнением мероприятий Программы осуществляет заместитель главы администрации городского округа, курирующий вопросы финансов, бюджетного учета, экономики, торговли, муниципального заказа, земельных и имущественных отношений.</w:t>
      </w:r>
    </w:p>
    <w:p w:rsidR="00BE613C" w:rsidRDefault="003F6EA4">
      <w:pPr>
        <w:spacing w:line="360" w:lineRule="auto"/>
        <w:jc w:val="center"/>
      </w:pPr>
      <w:r>
        <w:rPr>
          <w:b/>
        </w:rPr>
        <w:t>7. Ресурсное обеспечение Программы</w:t>
      </w:r>
    </w:p>
    <w:p w:rsidR="00BE613C" w:rsidRDefault="00BE613C">
      <w:pPr>
        <w:ind w:left="284" w:firstLine="660"/>
        <w:jc w:val="center"/>
        <w:rPr>
          <w:b/>
        </w:rPr>
      </w:pPr>
    </w:p>
    <w:p w:rsidR="00BE613C" w:rsidRDefault="003F6EA4">
      <w:pPr>
        <w:spacing w:line="360" w:lineRule="auto"/>
      </w:pPr>
      <w:r>
        <w:t>Мероприятия программы реализуются за счет средств бюджета городского округа. Субсидии из федерального бюджета, бюджета Приморского края, из внебюджетных средств на реализацию Программы не привлекаются.</w:t>
      </w:r>
    </w:p>
    <w:p w:rsidR="00BE613C" w:rsidRDefault="003F6EA4">
      <w:pPr>
        <w:spacing w:line="360" w:lineRule="auto"/>
      </w:pPr>
      <w:r>
        <w:rPr>
          <w:color w:val="000000"/>
        </w:rPr>
        <w:t xml:space="preserve">Общий объем финансирования Программы из бюджета городского округа на 2020-2024 годы - </w:t>
      </w:r>
      <w:r>
        <w:t>125 тыс</w:t>
      </w:r>
      <w:r>
        <w:rPr>
          <w:color w:val="000000"/>
        </w:rPr>
        <w:t>. рублей, в том числе по годам:</w:t>
      </w:r>
      <w:r>
        <w:t xml:space="preserve"> </w:t>
      </w:r>
    </w:p>
    <w:p w:rsidR="00BE613C" w:rsidRDefault="003F6EA4">
      <w:pPr>
        <w:widowControl/>
      </w:pPr>
      <w:r>
        <w:t>в 2020 году – 25 тыс. руб.,</w:t>
      </w:r>
    </w:p>
    <w:p w:rsidR="00BE613C" w:rsidRDefault="003F6EA4">
      <w:pPr>
        <w:pStyle w:val="ConsPlusNonformat"/>
        <w:widowControl/>
        <w:ind w:firstLine="709"/>
      </w:pPr>
      <w:r>
        <w:rPr>
          <w:rFonts w:ascii="Times New Roman" w:hAnsi="Times New Roman" w:cs="Times New Roman"/>
          <w:szCs w:val="26"/>
        </w:rPr>
        <w:t xml:space="preserve">в 2021 году -  25 тыс. руб., </w:t>
      </w:r>
    </w:p>
    <w:p w:rsidR="00BE613C" w:rsidRDefault="003F6EA4">
      <w:pPr>
        <w:pStyle w:val="ConsPlusNonformat"/>
        <w:widowControl/>
        <w:ind w:firstLine="709"/>
      </w:pPr>
      <w:r>
        <w:rPr>
          <w:rFonts w:ascii="Times New Roman" w:hAnsi="Times New Roman" w:cs="Times New Roman"/>
          <w:szCs w:val="26"/>
        </w:rPr>
        <w:t>в 2022 году -  25 тыс. руб.,</w:t>
      </w:r>
    </w:p>
    <w:p w:rsidR="00BE613C" w:rsidRDefault="003F6EA4">
      <w:pPr>
        <w:pStyle w:val="ConsPlusNonformat"/>
        <w:widowControl/>
        <w:ind w:firstLine="709"/>
      </w:pPr>
      <w:r>
        <w:rPr>
          <w:rFonts w:ascii="Times New Roman" w:hAnsi="Times New Roman" w:cs="Times New Roman"/>
          <w:szCs w:val="26"/>
        </w:rPr>
        <w:t>в 2023 году -  25 тыс. руб.,</w:t>
      </w:r>
    </w:p>
    <w:p w:rsidR="00BE613C" w:rsidRDefault="003F6EA4">
      <w:pPr>
        <w:pStyle w:val="ConsPlusNonformat"/>
        <w:widowControl/>
        <w:tabs>
          <w:tab w:val="left" w:pos="0"/>
        </w:tabs>
        <w:ind w:firstLine="709"/>
      </w:pPr>
      <w:r>
        <w:rPr>
          <w:rFonts w:ascii="Times New Roman" w:hAnsi="Times New Roman" w:cs="Times New Roman"/>
          <w:szCs w:val="26"/>
        </w:rPr>
        <w:t>в 2024 году -  25 тыс. руб.</w:t>
      </w:r>
    </w:p>
    <w:p w:rsidR="00BE613C" w:rsidRDefault="00BE613C">
      <w:pPr>
        <w:pStyle w:val="ConsPlusNonformat"/>
        <w:widowControl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</w:p>
    <w:p w:rsidR="00BE613C" w:rsidRDefault="003F6EA4">
      <w:pPr>
        <w:pStyle w:val="ConsPlusNonformat"/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Cs w:val="26"/>
        </w:rPr>
      </w:pPr>
      <w:r>
        <w:rPr>
          <w:rFonts w:ascii="Times New Roman" w:hAnsi="Times New Roman" w:cs="Times New Roman"/>
          <w:szCs w:val="26"/>
        </w:rPr>
        <w:t xml:space="preserve">Ресурсное обеспечение каждого мероприятия Программы по срокам реализации указано в приложении № 1 к Программе. </w:t>
      </w:r>
    </w:p>
    <w:p w:rsidR="00BE613C" w:rsidRDefault="00BE613C">
      <w:pPr>
        <w:pStyle w:val="ConsPlusNonformat"/>
        <w:widowControl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</w:p>
    <w:p w:rsidR="00BE613C" w:rsidRDefault="003F6EA4">
      <w:pPr>
        <w:widowControl/>
        <w:tabs>
          <w:tab w:val="left" w:pos="0"/>
        </w:tabs>
        <w:ind w:firstLine="0"/>
        <w:jc w:val="center"/>
        <w:sectPr w:rsidR="00BE613C">
          <w:headerReference w:type="default" r:id="rId8"/>
          <w:pgSz w:w="11906" w:h="16838"/>
          <w:pgMar w:top="397" w:right="851" w:bottom="1134" w:left="1418" w:header="0" w:footer="0" w:gutter="0"/>
          <w:cols w:space="720"/>
          <w:formProt w:val="0"/>
          <w:titlePg/>
          <w:docGrid w:linePitch="354"/>
        </w:sectPr>
      </w:pPr>
      <w:r>
        <w:rPr>
          <w:sz w:val="24"/>
          <w:szCs w:val="24"/>
        </w:rPr>
        <w:t>_______________________________________________</w:t>
      </w:r>
    </w:p>
    <w:p w:rsidR="00BE613C" w:rsidRDefault="003F6EA4">
      <w:pPr>
        <w:pStyle w:val="ConsPlusNonformat"/>
        <w:widowControl/>
        <w:ind w:left="9130" w:firstLine="6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 №1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внутреннего и  въездного туризма</w:t>
      </w:r>
    </w:p>
    <w:p w:rsidR="00BE613C" w:rsidRDefault="003F6EA4">
      <w:pPr>
        <w:pStyle w:val="ConsPlusNonformat"/>
        <w:widowControl/>
        <w:ind w:left="9020" w:firstLine="660"/>
        <w:jc w:val="center"/>
      </w:pPr>
      <w:r>
        <w:rPr>
          <w:rFonts w:ascii="Times New Roman" w:hAnsi="Times New Roman" w:cs="Times New Roman"/>
          <w:sz w:val="24"/>
          <w:szCs w:val="24"/>
        </w:rPr>
        <w:t>на территории Арсеньевского городского округа» на 2020-2024 годы</w:t>
      </w:r>
    </w:p>
    <w:p w:rsidR="00BE613C" w:rsidRDefault="003F6EA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Информация</w:t>
      </w:r>
    </w:p>
    <w:p w:rsidR="00BE613C" w:rsidRDefault="003F6EA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</w:p>
    <w:p w:rsidR="00BE613C" w:rsidRDefault="00BE613C">
      <w:pPr>
        <w:jc w:val="center"/>
        <w:rPr>
          <w:b/>
          <w:bCs/>
          <w:sz w:val="24"/>
          <w:szCs w:val="24"/>
        </w:rPr>
      </w:pPr>
    </w:p>
    <w:tbl>
      <w:tblPr>
        <w:tblW w:w="14694" w:type="dxa"/>
        <w:tblInd w:w="-2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2"/>
        <w:gridCol w:w="2353"/>
        <w:gridCol w:w="1558"/>
        <w:gridCol w:w="1052"/>
        <w:gridCol w:w="1008"/>
        <w:gridCol w:w="857"/>
        <w:gridCol w:w="932"/>
        <w:gridCol w:w="930"/>
        <w:gridCol w:w="1189"/>
        <w:gridCol w:w="2487"/>
        <w:gridCol w:w="1476"/>
      </w:tblGrid>
      <w:tr w:rsidR="00BE613C">
        <w:trPr>
          <w:tblHeader/>
        </w:trPr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программы, отдельного мероприятия</w:t>
            </w:r>
          </w:p>
        </w:tc>
        <w:tc>
          <w:tcPr>
            <w:tcW w:w="1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596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Период реализации</w:t>
            </w:r>
          </w:p>
        </w:tc>
      </w:tr>
      <w:tr w:rsidR="00BE613C">
        <w:trPr>
          <w:tblHeader/>
        </w:trPr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91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 том числе по годам:</w:t>
            </w:r>
          </w:p>
        </w:tc>
        <w:tc>
          <w:tcPr>
            <w:tcW w:w="2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13C">
        <w:trPr>
          <w:tblHeader/>
        </w:trPr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b/>
                <w:bCs/>
              </w:rPr>
              <w:t>202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E613C">
        <w:trPr>
          <w:trHeight w:val="70"/>
          <w:tblHeader/>
        </w:trPr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9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информационного обеспечения туризма и туристической деятельности на территории Арсеньевского городского округа, в том числе:</w:t>
            </w:r>
          </w:p>
          <w:p w:rsidR="00BE613C" w:rsidRDefault="00BE61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экономики и инвестиций администрации  городского округа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2020-2024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rPr>
          <w:trHeight w:val="643"/>
        </w:trPr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pStyle w:val="a8"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Изготовление, монтаж и демонтаж туристского баннера (18 кв.м. ) для социально-рекламного щита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экономики и инвестиций администрации  городского округа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2020-2024</w:t>
            </w:r>
          </w:p>
        </w:tc>
      </w:tr>
      <w:tr w:rsidR="00BE613C">
        <w:trPr>
          <w:trHeight w:val="643"/>
        </w:trPr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rPr>
          <w:trHeight w:val="643"/>
        </w:trPr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  <w:p w:rsidR="00BE613C" w:rsidRDefault="003F6EA4">
            <w:pPr>
              <w:ind w:firstLine="0"/>
              <w:jc w:val="center"/>
            </w:pPr>
            <w:r>
              <w:t>1.1.</w:t>
            </w:r>
            <w:r>
              <w:rPr>
                <w:lang w:val="en-US"/>
              </w:rPr>
              <w:t>1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Изготовление туристского баннера (18 м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) для социально-рекламного щита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экономики и инвестиций администрации  городского округа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0,</w:t>
            </w:r>
          </w:p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2022,</w:t>
            </w:r>
          </w:p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</w:p>
          <w:p w:rsidR="00BE613C" w:rsidRDefault="00BE613C">
            <w:pPr>
              <w:ind w:firstLine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1.1.2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Монтаж и демонтаж туристского баннера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</w:p>
          <w:p w:rsidR="00BE613C" w:rsidRDefault="00BE613C">
            <w:pPr>
              <w:ind w:firstLine="0"/>
              <w:jc w:val="center"/>
            </w:pP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bookmarkStart w:id="2" w:name="__DdeLink__1860_2322660196"/>
            <w:bookmarkEnd w:id="2"/>
            <w:r>
              <w:rPr>
                <w:color w:val="000000"/>
                <w:sz w:val="24"/>
                <w:szCs w:val="24"/>
              </w:rPr>
              <w:t xml:space="preserve">управление экономики и инвестиций администрации  городского округа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0-2024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1</w:t>
            </w:r>
            <w:r>
              <w:rPr>
                <w:lang w:val="en-US"/>
              </w:rPr>
              <w:t>0</w:t>
            </w:r>
          </w:p>
          <w:p w:rsidR="00BE613C" w:rsidRDefault="00BE613C">
            <w:pPr>
              <w:ind w:firstLine="0"/>
              <w:jc w:val="center"/>
            </w:pP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дорожных указателей к объектам культурного наследия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right="6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управление экономики и инвестиций администрации  городского округа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  <w:lang w:val="en-US"/>
              </w:rPr>
              <w:t>202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,</w:t>
            </w:r>
          </w:p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right="6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материалов в Департамент туризма Приморского края для формирования информационных, рекламных материалов о туристических ресурсах Арсеньевского городского округа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96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экономики и инвестиций администрации  городского округа 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020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</w:tc>
        <w:tc>
          <w:tcPr>
            <w:tcW w:w="596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Информационное сопровождение организации и проведения событийных мероприятий, проводимых на территории Арсеньевского городского округа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020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</w:tc>
        <w:tc>
          <w:tcPr>
            <w:tcW w:w="596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ведение Реестра предприятий инфраструктуры туристического бизнеса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020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rPr>
          <w:trHeight w:val="209"/>
        </w:trPr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общественного мнения о развитии внутреннего туризма на территории Арсеньевского городского округа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020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 xml:space="preserve">Обновление информационной базы «Гостям города», содержащей </w:t>
            </w:r>
            <w:r>
              <w:rPr>
                <w:sz w:val="24"/>
                <w:szCs w:val="24"/>
              </w:rPr>
              <w:lastRenderedPageBreak/>
              <w:t xml:space="preserve">основные туристические ресурсы на сайте администрации Арсеньевского городского округа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  <w:p w:rsidR="00BE613C" w:rsidRDefault="00BE613C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020</w:t>
            </w:r>
            <w:r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БГО</w:t>
            </w:r>
          </w:p>
          <w:p w:rsidR="00BE613C" w:rsidRDefault="00BE613C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969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8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</w:t>
            </w:r>
          </w:p>
        </w:tc>
        <w:tc>
          <w:tcPr>
            <w:tcW w:w="2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мероприятиях туристической направленности, проводимых на территории Арсеньевского городского округа и Приморского края 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</w:pPr>
            <w:r>
              <w:t>всего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color w:val="000000"/>
                <w:sz w:val="24"/>
                <w:szCs w:val="24"/>
              </w:rPr>
              <w:t>-202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BE613C">
        <w:tc>
          <w:tcPr>
            <w:tcW w:w="8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23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БГО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  <w:tr w:rsidR="00BE613C">
        <w:tc>
          <w:tcPr>
            <w:tcW w:w="32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по программе:</w:t>
            </w:r>
          </w:p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BE613C" w:rsidRDefault="00BE613C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25</w:t>
            </w:r>
          </w:p>
          <w:p w:rsidR="00BE613C" w:rsidRDefault="00BE613C"/>
        </w:tc>
        <w:tc>
          <w:tcPr>
            <w:tcW w:w="2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E613C" w:rsidRDefault="00BE613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E613C" w:rsidRDefault="00BE613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BE613C" w:rsidRDefault="00BE613C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613C">
        <w:tc>
          <w:tcPr>
            <w:tcW w:w="32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E613C" w:rsidRDefault="00BE613C"/>
        </w:tc>
        <w:tc>
          <w:tcPr>
            <w:tcW w:w="1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БГО</w:t>
            </w:r>
          </w:p>
          <w:p w:rsidR="00BE613C" w:rsidRDefault="00BE613C">
            <w:pPr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3F6EA4">
            <w:pPr>
              <w:ind w:firstLine="0"/>
              <w:jc w:val="center"/>
            </w:pPr>
            <w:r>
              <w:t>25</w:t>
            </w:r>
          </w:p>
          <w:p w:rsidR="00BE613C" w:rsidRDefault="00BE613C"/>
        </w:tc>
        <w:tc>
          <w:tcPr>
            <w:tcW w:w="24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E613C" w:rsidRDefault="00BE613C"/>
        </w:tc>
      </w:tr>
    </w:tbl>
    <w:p w:rsidR="00BE613C" w:rsidRDefault="00BE613C">
      <w:pPr>
        <w:jc w:val="center"/>
        <w:rPr>
          <w:color w:val="000000"/>
          <w:sz w:val="24"/>
          <w:szCs w:val="24"/>
        </w:rPr>
      </w:pPr>
    </w:p>
    <w:p w:rsidR="00BE613C" w:rsidRDefault="003F6EA4">
      <w:pPr>
        <w:jc w:val="left"/>
      </w:pPr>
      <w:r>
        <w:rPr>
          <w:b/>
          <w:bCs/>
          <w:sz w:val="24"/>
          <w:szCs w:val="24"/>
        </w:rPr>
        <w:t xml:space="preserve">БГО – </w:t>
      </w:r>
      <w:r>
        <w:rPr>
          <w:sz w:val="24"/>
          <w:szCs w:val="24"/>
        </w:rPr>
        <w:t>бюджет городского округа</w:t>
      </w:r>
    </w:p>
    <w:p w:rsidR="00BE613C" w:rsidRDefault="00BE613C">
      <w:pPr>
        <w:jc w:val="left"/>
        <w:rPr>
          <w:b/>
          <w:bCs/>
          <w:sz w:val="24"/>
          <w:szCs w:val="24"/>
        </w:rPr>
      </w:pPr>
    </w:p>
    <w:p w:rsidR="00BE613C" w:rsidRDefault="003F6EA4">
      <w:pPr>
        <w:ind w:firstLine="0"/>
        <w:jc w:val="center"/>
        <w:rPr>
          <w:sz w:val="24"/>
          <w:szCs w:val="24"/>
        </w:rPr>
      </w:pPr>
      <w:bookmarkStart w:id="3" w:name="__DdeLink__13061_3011839787"/>
      <w:r>
        <w:rPr>
          <w:sz w:val="24"/>
          <w:szCs w:val="24"/>
        </w:rPr>
        <w:t>_______________________________________________</w:t>
      </w:r>
      <w:bookmarkEnd w:id="3"/>
    </w:p>
    <w:p w:rsidR="00A149D2" w:rsidRDefault="003F6EA4">
      <w:pPr>
        <w:ind w:firstLine="0"/>
        <w:jc w:val="center"/>
      </w:pPr>
      <w:r>
        <w:t xml:space="preserve">                                                                                                                                           </w:t>
      </w:r>
    </w:p>
    <w:p w:rsidR="00A149D2" w:rsidRDefault="00A149D2">
      <w:pPr>
        <w:ind w:firstLine="0"/>
        <w:jc w:val="center"/>
      </w:pPr>
    </w:p>
    <w:p w:rsidR="00A149D2" w:rsidRDefault="00A149D2">
      <w:pPr>
        <w:ind w:firstLine="0"/>
        <w:jc w:val="center"/>
      </w:pPr>
    </w:p>
    <w:p w:rsidR="00A149D2" w:rsidRDefault="00A149D2">
      <w:pPr>
        <w:ind w:firstLine="0"/>
        <w:jc w:val="center"/>
      </w:pPr>
    </w:p>
    <w:p w:rsidR="00A149D2" w:rsidRDefault="00A149D2">
      <w:pPr>
        <w:ind w:firstLine="0"/>
        <w:jc w:val="center"/>
      </w:pPr>
    </w:p>
    <w:p w:rsidR="00BE613C" w:rsidRDefault="003F6EA4" w:rsidP="00A149D2">
      <w:pPr>
        <w:ind w:left="9072" w:firstLine="0"/>
        <w:jc w:val="center"/>
      </w:pPr>
      <w:r>
        <w:lastRenderedPageBreak/>
        <w:t xml:space="preserve">   Приложение №2</w:t>
      </w:r>
    </w:p>
    <w:p w:rsidR="00BE613C" w:rsidRDefault="003F6EA4">
      <w:pPr>
        <w:ind w:firstLine="0"/>
        <w:jc w:val="center"/>
      </w:pPr>
      <w:r>
        <w:t xml:space="preserve">                                                                                                                                              к муниципальной программе   </w:t>
      </w:r>
    </w:p>
    <w:p w:rsidR="00BE613C" w:rsidRDefault="003F6EA4">
      <w:pPr>
        <w:ind w:left="9214" w:firstLine="0"/>
        <w:jc w:val="center"/>
      </w:pPr>
      <w:r>
        <w:t>«Развитие внутреннего и въездного туризма</w:t>
      </w:r>
    </w:p>
    <w:p w:rsidR="00BE613C" w:rsidRDefault="003F6EA4">
      <w:pPr>
        <w:ind w:left="9214" w:firstLine="0"/>
        <w:jc w:val="center"/>
      </w:pPr>
      <w:r>
        <w:t>на территории Арсеньевского городского округа» на 2020-2024 годы</w:t>
      </w:r>
    </w:p>
    <w:p w:rsidR="00BE613C" w:rsidRDefault="00BE613C">
      <w:pPr>
        <w:ind w:left="9214" w:firstLine="0"/>
        <w:jc w:val="center"/>
      </w:pPr>
    </w:p>
    <w:p w:rsidR="00BE613C" w:rsidRDefault="003F6EA4">
      <w:pPr>
        <w:ind w:firstLine="0"/>
        <w:jc w:val="center"/>
        <w:rPr>
          <w:b/>
          <w:bCs/>
        </w:rPr>
      </w:pPr>
      <w:r>
        <w:rPr>
          <w:b/>
          <w:bCs/>
        </w:rPr>
        <w:t>Сведения о показателях (индикаторах) муниципальной программы</w:t>
      </w:r>
    </w:p>
    <w:p w:rsidR="00BE613C" w:rsidRDefault="003F6EA4">
      <w:pPr>
        <w:ind w:firstLine="0"/>
        <w:jc w:val="center"/>
        <w:rPr>
          <w:b/>
          <w:bCs/>
        </w:rPr>
      </w:pPr>
      <w:r>
        <w:rPr>
          <w:b/>
          <w:bCs/>
        </w:rPr>
        <w:t>«Развитие внутреннего и въездного туризма на территории Арсеньевского городского округа» на 2020-2024 годы</w:t>
      </w:r>
    </w:p>
    <w:p w:rsidR="00BE613C" w:rsidRDefault="00BE613C">
      <w:pPr>
        <w:ind w:firstLine="0"/>
        <w:jc w:val="center"/>
        <w:rPr>
          <w:b/>
          <w:bCs/>
        </w:rPr>
      </w:pPr>
    </w:p>
    <w:tbl>
      <w:tblPr>
        <w:tblW w:w="15135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4630"/>
        <w:gridCol w:w="672"/>
        <w:gridCol w:w="1304"/>
        <w:gridCol w:w="1245"/>
        <w:gridCol w:w="1365"/>
        <w:gridCol w:w="1366"/>
        <w:gridCol w:w="1304"/>
        <w:gridCol w:w="1305"/>
        <w:gridCol w:w="1409"/>
      </w:tblGrid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Отчетный 2018 год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2019 год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2020 год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 2021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 2022 год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 год планового периода 2023 год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 год планового периода 2024 год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613C" w:rsidRDefault="00BE613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граждан   (в т.ч. иностранных граждан), размещенных  в коллективных средствах размещения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чел.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заполняемости номерного фонда в коллективных средствах размещения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платных туристских услуг (в т.ч. объем платных услуг гостиниц и других коллективных средств размещения)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млн. руб.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 туристической направленности (с нарастающим итогом)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установленных баннеров (нарастающим итогом)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E613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overflowPunct/>
              <w:ind w:left="-59" w:right="-10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граждан, удовлетворенных развитием внутреннего туризма на территории Арсеньевского городского округа от  общего количества опрошенных 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13C" w:rsidRDefault="003F6EA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</w:tbl>
    <w:p w:rsidR="00BE613C" w:rsidRDefault="003F6EA4">
      <w:pPr>
        <w:ind w:firstLine="0"/>
        <w:jc w:val="center"/>
      </w:pPr>
      <w:bookmarkStart w:id="4" w:name="__DdeLink__1396_1044974227"/>
      <w:r>
        <w:rPr>
          <w:sz w:val="24"/>
          <w:szCs w:val="24"/>
        </w:rPr>
        <w:t>______________________________________________</w:t>
      </w:r>
      <w:bookmarkEnd w:id="4"/>
    </w:p>
    <w:p w:rsidR="00BE613C" w:rsidRDefault="00BE613C">
      <w:pPr>
        <w:sectPr w:rsidR="00BE613C">
          <w:headerReference w:type="default" r:id="rId9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600" w:charSpace="28672"/>
        </w:sectPr>
      </w:pPr>
    </w:p>
    <w:p w:rsidR="00BE613C" w:rsidRDefault="00BE613C"/>
    <w:sectPr w:rsidR="00BE613C">
      <w:type w:val="continuous"/>
      <w:pgSz w:w="16838" w:h="11906" w:orient="landscape"/>
      <w:pgMar w:top="1134" w:right="1134" w:bottom="1134" w:left="1134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945" w:rsidRDefault="005F6945">
      <w:r>
        <w:separator/>
      </w:r>
    </w:p>
  </w:endnote>
  <w:endnote w:type="continuationSeparator" w:id="0">
    <w:p w:rsidR="005F6945" w:rsidRDefault="005F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945" w:rsidRDefault="005F6945">
      <w:r>
        <w:separator/>
      </w:r>
    </w:p>
  </w:footnote>
  <w:footnote w:type="continuationSeparator" w:id="0">
    <w:p w:rsidR="005F6945" w:rsidRDefault="005F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291313"/>
      <w:docPartObj>
        <w:docPartGallery w:val="Page Numbers (Top of Page)"/>
        <w:docPartUnique/>
      </w:docPartObj>
    </w:sdtPr>
    <w:sdtEndPr/>
    <w:sdtContent>
      <w:p w:rsidR="00BE613C" w:rsidRDefault="003F6EA4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08FD">
          <w:rPr>
            <w:noProof/>
          </w:rPr>
          <w:t>14</w:t>
        </w:r>
        <w:r>
          <w:fldChar w:fldCharType="end"/>
        </w:r>
      </w:p>
      <w:p w:rsidR="00BE613C" w:rsidRDefault="005F6945">
        <w:pPr>
          <w:pStyle w:val="ac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9271783"/>
      <w:docPartObj>
        <w:docPartGallery w:val="Page Numbers (Top of Page)"/>
        <w:docPartUnique/>
      </w:docPartObj>
    </w:sdtPr>
    <w:sdtEndPr/>
    <w:sdtContent>
      <w:p w:rsidR="00BE613C" w:rsidRDefault="003F6EA4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808FD">
          <w:rPr>
            <w:noProof/>
          </w:rPr>
          <w:t>19</w:t>
        </w:r>
        <w:r>
          <w:fldChar w:fldCharType="end"/>
        </w:r>
      </w:p>
      <w:p w:rsidR="00BE613C" w:rsidRDefault="005F6945">
        <w:pPr>
          <w:pStyle w:val="ac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5E1"/>
    <w:multiLevelType w:val="multilevel"/>
    <w:tmpl w:val="2F88EA1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D665B54"/>
    <w:multiLevelType w:val="multilevel"/>
    <w:tmpl w:val="FF8C59B2"/>
    <w:lvl w:ilvl="0">
      <w:start w:val="1"/>
      <w:numFmt w:val="bullet"/>
      <w:lvlText w:val="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C63280"/>
    <w:multiLevelType w:val="multilevel"/>
    <w:tmpl w:val="2F88CA50"/>
    <w:lvl w:ilvl="0">
      <w:start w:val="3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5F0C7F"/>
    <w:multiLevelType w:val="multilevel"/>
    <w:tmpl w:val="4660565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94223DE"/>
    <w:multiLevelType w:val="multilevel"/>
    <w:tmpl w:val="8962D74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3C"/>
    <w:rsid w:val="001122CB"/>
    <w:rsid w:val="00152A5D"/>
    <w:rsid w:val="003F6EA4"/>
    <w:rsid w:val="005F6945"/>
    <w:rsid w:val="00A149D2"/>
    <w:rsid w:val="00A808FD"/>
    <w:rsid w:val="00B50321"/>
    <w:rsid w:val="00BE613C"/>
    <w:rsid w:val="00F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1097"/>
  <w15:docId w15:val="{E32D87A7-955D-479E-8D84-211A6D6F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uiPriority w:val="99"/>
    <w:qFormat/>
    <w:rPr>
      <w:sz w:val="26"/>
      <w:szCs w:val="26"/>
    </w:rPr>
  </w:style>
  <w:style w:type="character" w:customStyle="1" w:styleId="a4">
    <w:name w:val="Нижний колонтитул Знак"/>
    <w:qFormat/>
    <w:rPr>
      <w:sz w:val="26"/>
      <w:szCs w:val="26"/>
    </w:rPr>
  </w:style>
  <w:style w:type="character" w:customStyle="1" w:styleId="a5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ascii="Symbol" w:hAnsi="Symbol" w:cs="Symbol"/>
      <w:szCs w:val="26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Symbol"/>
      <w:szCs w:val="26"/>
    </w:rPr>
  </w:style>
  <w:style w:type="character" w:customStyle="1" w:styleId="ListLabel3">
    <w:name w:val="ListLabel 3"/>
    <w:qFormat/>
    <w:rPr>
      <w:rFonts w:cs="Symbol"/>
      <w:sz w:val="26"/>
    </w:rPr>
  </w:style>
  <w:style w:type="character" w:customStyle="1" w:styleId="ListLabel4">
    <w:name w:val="ListLabel 4"/>
    <w:qFormat/>
    <w:rPr>
      <w:rFonts w:cs="Symbol"/>
      <w:szCs w:val="26"/>
    </w:rPr>
  </w:style>
  <w:style w:type="character" w:customStyle="1" w:styleId="ListLabel5">
    <w:name w:val="ListLabel 5"/>
    <w:qFormat/>
    <w:rPr>
      <w:rFonts w:cs="Symbol"/>
      <w:sz w:val="26"/>
    </w:rPr>
  </w:style>
  <w:style w:type="character" w:customStyle="1" w:styleId="ListLabel6">
    <w:name w:val="ListLabel 6"/>
    <w:qFormat/>
    <w:rPr>
      <w:rFonts w:cs="Symbol"/>
      <w:szCs w:val="26"/>
    </w:rPr>
  </w:style>
  <w:style w:type="character" w:customStyle="1" w:styleId="ListLabel7">
    <w:name w:val="ListLabel 7"/>
    <w:qFormat/>
    <w:rPr>
      <w:rFonts w:cs="Symbol"/>
      <w:sz w:val="26"/>
    </w:rPr>
  </w:style>
  <w:style w:type="character" w:customStyle="1" w:styleId="ListLabel8">
    <w:name w:val="ListLabel 8"/>
    <w:qFormat/>
    <w:rPr>
      <w:rFonts w:cs="Symbol"/>
      <w:szCs w:val="26"/>
    </w:rPr>
  </w:style>
  <w:style w:type="character" w:customStyle="1" w:styleId="ListLabel9">
    <w:name w:val="ListLabel 9"/>
    <w:qFormat/>
    <w:rPr>
      <w:rFonts w:cs="Symbol"/>
      <w:sz w:val="26"/>
    </w:rPr>
  </w:style>
  <w:style w:type="character" w:customStyle="1" w:styleId="ListLabel10">
    <w:name w:val="ListLabel 10"/>
    <w:qFormat/>
    <w:rPr>
      <w:rFonts w:cs="Symbol"/>
      <w:szCs w:val="26"/>
    </w:rPr>
  </w:style>
  <w:style w:type="character" w:customStyle="1" w:styleId="ListLabel11">
    <w:name w:val="ListLabel 11"/>
    <w:qFormat/>
    <w:rPr>
      <w:rFonts w:cs="Symbol"/>
      <w:sz w:val="26"/>
    </w:rPr>
  </w:style>
  <w:style w:type="character" w:customStyle="1" w:styleId="ListLabel12">
    <w:name w:val="ListLabel 12"/>
    <w:qFormat/>
    <w:rPr>
      <w:rFonts w:cs="Symbol"/>
      <w:szCs w:val="26"/>
    </w:rPr>
  </w:style>
  <w:style w:type="character" w:customStyle="1" w:styleId="ListLabel13">
    <w:name w:val="ListLabel 13"/>
    <w:qFormat/>
    <w:rPr>
      <w:rFonts w:cs="Symbol"/>
      <w:sz w:val="26"/>
    </w:rPr>
  </w:style>
  <w:style w:type="character" w:customStyle="1" w:styleId="ListLabel14">
    <w:name w:val="ListLabel 14"/>
    <w:qFormat/>
    <w:rPr>
      <w:rFonts w:cs="Symbol"/>
      <w:szCs w:val="26"/>
    </w:rPr>
  </w:style>
  <w:style w:type="character" w:customStyle="1" w:styleId="ListLabel15">
    <w:name w:val="ListLabel 15"/>
    <w:qFormat/>
    <w:rPr>
      <w:rFonts w:cs="Symbol"/>
      <w:sz w:val="26"/>
    </w:rPr>
  </w:style>
  <w:style w:type="character" w:customStyle="1" w:styleId="ListLabel16">
    <w:name w:val="ListLabel 16"/>
    <w:qFormat/>
    <w:rPr>
      <w:rFonts w:cs="Symbol"/>
      <w:szCs w:val="26"/>
    </w:rPr>
  </w:style>
  <w:style w:type="character" w:customStyle="1" w:styleId="ListLabel17">
    <w:name w:val="ListLabel 17"/>
    <w:qFormat/>
    <w:rPr>
      <w:rFonts w:cs="Symbol"/>
      <w:sz w:val="26"/>
    </w:rPr>
  </w:style>
  <w:style w:type="character" w:customStyle="1" w:styleId="ListLabel18">
    <w:name w:val="ListLabel 18"/>
    <w:qFormat/>
    <w:rPr>
      <w:rFonts w:cs="Symbol"/>
      <w:szCs w:val="26"/>
    </w:rPr>
  </w:style>
  <w:style w:type="character" w:customStyle="1" w:styleId="ListLabel19">
    <w:name w:val="ListLabel 19"/>
    <w:qFormat/>
    <w:rPr>
      <w:rFonts w:cs="Symbol"/>
      <w:sz w:val="26"/>
    </w:rPr>
  </w:style>
  <w:style w:type="character" w:customStyle="1" w:styleId="ListLabel20">
    <w:name w:val="ListLabel 20"/>
    <w:qFormat/>
    <w:rPr>
      <w:rFonts w:cs="Symbol"/>
      <w:szCs w:val="26"/>
    </w:rPr>
  </w:style>
  <w:style w:type="character" w:customStyle="1" w:styleId="ListLabel21">
    <w:name w:val="ListLabel 21"/>
    <w:qFormat/>
    <w:rPr>
      <w:rFonts w:cs="Symbol"/>
      <w:sz w:val="26"/>
    </w:rPr>
  </w:style>
  <w:style w:type="character" w:customStyle="1" w:styleId="ListLabel22">
    <w:name w:val="ListLabel 22"/>
    <w:qFormat/>
    <w:rPr>
      <w:rFonts w:cs="Symbol"/>
      <w:szCs w:val="26"/>
    </w:rPr>
  </w:style>
  <w:style w:type="character" w:customStyle="1" w:styleId="ListLabel23">
    <w:name w:val="ListLabel 23"/>
    <w:qFormat/>
    <w:rPr>
      <w:rFonts w:cs="Symbol"/>
      <w:sz w:val="26"/>
    </w:rPr>
  </w:style>
  <w:style w:type="character" w:customStyle="1" w:styleId="ListLabel24">
    <w:name w:val="ListLabel 24"/>
    <w:qFormat/>
    <w:rPr>
      <w:rFonts w:cs="Symbol"/>
      <w:szCs w:val="26"/>
    </w:rPr>
  </w:style>
  <w:style w:type="character" w:customStyle="1" w:styleId="ListLabel25">
    <w:name w:val="ListLabel 25"/>
    <w:qFormat/>
    <w:rPr>
      <w:rFonts w:cs="Symbol"/>
      <w:sz w:val="26"/>
    </w:rPr>
  </w:style>
  <w:style w:type="character" w:customStyle="1" w:styleId="ListLabel26">
    <w:name w:val="ListLabel 26"/>
    <w:qFormat/>
    <w:rPr>
      <w:rFonts w:cs="Symbol"/>
      <w:szCs w:val="26"/>
    </w:rPr>
  </w:style>
  <w:style w:type="character" w:customStyle="1" w:styleId="ListLabel27">
    <w:name w:val="ListLabel 27"/>
    <w:qFormat/>
    <w:rPr>
      <w:rFonts w:cs="Symbol"/>
      <w:sz w:val="26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cs="Symbol"/>
      <w:szCs w:val="26"/>
    </w:rPr>
  </w:style>
  <w:style w:type="character" w:customStyle="1" w:styleId="ListLabel29">
    <w:name w:val="ListLabel 29"/>
    <w:qFormat/>
    <w:rPr>
      <w:rFonts w:cs="Symbol"/>
      <w:sz w:val="26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overflowPunct w:val="0"/>
    </w:pPr>
    <w:rPr>
      <w:rFonts w:ascii="Arial" w:hAnsi="Arial" w:cs="Arial"/>
      <w:sz w:val="26"/>
      <w:lang w:eastAsia="en-US"/>
    </w:rPr>
  </w:style>
  <w:style w:type="paragraph" w:customStyle="1" w:styleId="ConsPlusTitle">
    <w:name w:val="ConsPlusTitle"/>
    <w:qFormat/>
    <w:pPr>
      <w:overflowPunct w:val="0"/>
    </w:pPr>
    <w:rPr>
      <w:b/>
      <w:bCs/>
      <w:sz w:val="26"/>
      <w:szCs w:val="26"/>
      <w:lang w:eastAsia="en-US"/>
    </w:rPr>
  </w:style>
  <w:style w:type="paragraph" w:styleId="ae">
    <w:name w:val="Normal (Web)"/>
    <w:basedOn w:val="a"/>
    <w:qFormat/>
    <w:pPr>
      <w:widowControl/>
      <w:spacing w:before="150"/>
      <w:ind w:firstLine="0"/>
      <w:jc w:val="left"/>
    </w:pPr>
    <w:rPr>
      <w:color w:val="000000"/>
      <w:sz w:val="24"/>
      <w:szCs w:val="24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pPr>
      <w:widowControl w:val="0"/>
      <w:overflowPunct w:val="0"/>
    </w:pPr>
    <w:rPr>
      <w:rFonts w:ascii="Courier New" w:hAnsi="Courier New" w:cs="Courier New"/>
      <w:sz w:val="26"/>
    </w:rPr>
  </w:style>
  <w:style w:type="paragraph" w:customStyle="1" w:styleId="ConsPlusCell">
    <w:name w:val="ConsPlusCell"/>
    <w:qFormat/>
    <w:pPr>
      <w:widowControl w:val="0"/>
      <w:overflowPunct w:val="0"/>
    </w:pPr>
    <w:rPr>
      <w:sz w:val="24"/>
      <w:szCs w:val="24"/>
    </w:rPr>
  </w:style>
  <w:style w:type="paragraph" w:customStyle="1" w:styleId="af1">
    <w:name w:val="Знак"/>
    <w:basedOn w:val="a"/>
    <w:qFormat/>
    <w:pPr>
      <w:widowControl/>
      <w:spacing w:before="280" w:after="280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2">
    <w:name w:val="Знак Знак Знак"/>
    <w:basedOn w:val="a"/>
    <w:qFormat/>
    <w:pPr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af3">
    <w:name w:val="Содержимое таблицы"/>
    <w:basedOn w:val="a"/>
    <w:qFormat/>
  </w:style>
  <w:style w:type="paragraph" w:customStyle="1" w:styleId="af4">
    <w:name w:val="Заголовок таблицы"/>
    <w:basedOn w:val="af3"/>
    <w:qFormat/>
  </w:style>
  <w:style w:type="paragraph" w:styleId="af5">
    <w:name w:val="No Spacing"/>
    <w:qFormat/>
    <w:rPr>
      <w:rFonts w:ascii="Calibri" w:eastAsia="Calibri" w:hAnsi="Calibri" w:cs="Calibri"/>
      <w:sz w:val="26"/>
      <w:szCs w:val="22"/>
      <w:lang w:eastAsia="en-US"/>
    </w:rPr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19</Pages>
  <Words>4690</Words>
  <Characters>26737</Characters>
  <Application>Microsoft Office Word</Application>
  <DocSecurity>0</DocSecurity>
  <Lines>222</Lines>
  <Paragraphs>62</Paragraphs>
  <ScaleCrop>false</ScaleCrop>
  <Company>КонсультантПлюс Версия 4018.00.70</Company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Пользователь</dc:creator>
  <dc:description/>
  <cp:lastModifiedBy>Герасимова Зоя Николаевна</cp:lastModifiedBy>
  <cp:revision>59</cp:revision>
  <cp:lastPrinted>2019-11-15T00:45:00Z</cp:lastPrinted>
  <dcterms:created xsi:type="dcterms:W3CDTF">2019-11-08T17:25:00Z</dcterms:created>
  <dcterms:modified xsi:type="dcterms:W3CDTF">2019-11-15T00:48:00Z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