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46F5" w14:textId="4BEA820D" w:rsidR="00904BA1" w:rsidRPr="00904BA1" w:rsidRDefault="00904BA1" w:rsidP="0090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№ </w:t>
      </w:r>
    </w:p>
    <w:p w14:paraId="21ABD5DC" w14:textId="77777777" w:rsidR="00904BA1" w:rsidRPr="00904BA1" w:rsidRDefault="00904BA1" w:rsidP="00904BA1">
      <w:pPr>
        <w:tabs>
          <w:tab w:val="left" w:pos="1300"/>
          <w:tab w:val="center" w:pos="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купли-продажи земельного участка</w:t>
      </w:r>
    </w:p>
    <w:p w14:paraId="58381CE1" w14:textId="77777777" w:rsidR="00904BA1" w:rsidRPr="00904BA1" w:rsidRDefault="00904BA1" w:rsidP="00904BA1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BB8DA46" w14:textId="66B50590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Арсеньев                                                                       </w:t>
      </w:r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10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90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7D9A96E7" w14:textId="77777777" w:rsidR="00904BA1" w:rsidRPr="00904BA1" w:rsidRDefault="00904BA1" w:rsidP="00904BA1">
      <w:pPr>
        <w:tabs>
          <w:tab w:val="center" w:pos="49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BA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E9C1647" w14:textId="475539E6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Арсеньевский городской округ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именуемый в дальнейшем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«Продавец»,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лице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начальника управления имущественных отношений Матвиенко Татьяны Валерьевны,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_______________________________</w:t>
      </w:r>
      <w:r w:rsidR="00F2243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именуемый в дальнейшем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"Покупатель"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, и именуемые в дальнейшем "Стороны", заключили настоящий договор (далее - Договор) о нижеследующем:</w:t>
      </w:r>
    </w:p>
    <w:p w14:paraId="350F6D19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BD9209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Предмет договора.</w:t>
      </w:r>
    </w:p>
    <w:p w14:paraId="1C5D6AE0" w14:textId="261BABD7" w:rsidR="00F2243C" w:rsidRPr="00F2243C" w:rsidRDefault="00904BA1" w:rsidP="00F2243C">
      <w:pPr>
        <w:pStyle w:val="a3"/>
        <w:snapToGrid w:val="0"/>
        <w:jc w:val="both"/>
        <w:rPr>
          <w:rFonts w:ascii="Times New Roman" w:hAnsi="Times New Roman" w:cs="Times New Roman"/>
          <w:sz w:val="25"/>
          <w:szCs w:val="25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Продавец обязуется передать в собственность на основании протокола </w:t>
      </w:r>
      <w:r w:rsidR="008A024C">
        <w:rPr>
          <w:rFonts w:ascii="Times New Roman" w:eastAsia="Times New Roman" w:hAnsi="Times New Roman" w:cs="Times New Roman"/>
          <w:sz w:val="25"/>
          <w:szCs w:val="25"/>
          <w:lang w:eastAsia="ru-RU"/>
        </w:rPr>
        <w:t>о результатах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аукциона от 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 № ________________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Покупатель принять и оплатить по цене и на условиях настоящего Договора земельный участок из земель населенных пунктов, с кадастровым номером </w:t>
      </w:r>
      <w:r w:rsidR="00F2243C" w:rsidRPr="00F2243C">
        <w:rPr>
          <w:rFonts w:ascii="Times New Roman" w:hAnsi="Times New Roman" w:cs="Times New Roman"/>
          <w:sz w:val="25"/>
          <w:szCs w:val="25"/>
        </w:rPr>
        <w:t>25:26:</w:t>
      </w:r>
      <w:r w:rsidR="00931833">
        <w:rPr>
          <w:rFonts w:ascii="Times New Roman" w:hAnsi="Times New Roman" w:cs="Times New Roman"/>
          <w:sz w:val="25"/>
          <w:szCs w:val="25"/>
        </w:rPr>
        <w:t>010325</w:t>
      </w:r>
      <w:r w:rsidR="00F2243C" w:rsidRPr="00F2243C">
        <w:rPr>
          <w:rFonts w:ascii="Times New Roman" w:hAnsi="Times New Roman" w:cs="Times New Roman"/>
          <w:sz w:val="25"/>
          <w:szCs w:val="25"/>
        </w:rPr>
        <w:t>:</w:t>
      </w:r>
      <w:r w:rsidR="00931833">
        <w:rPr>
          <w:rFonts w:ascii="Times New Roman" w:hAnsi="Times New Roman" w:cs="Times New Roman"/>
          <w:sz w:val="25"/>
          <w:szCs w:val="25"/>
        </w:rPr>
        <w:t>1111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931833" w:rsidRPr="00931833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931833" w:rsidRPr="00931833">
        <w:rPr>
          <w:rFonts w:ascii="Times New Roman" w:hAnsi="Times New Roman" w:cs="Times New Roman"/>
          <w:sz w:val="25"/>
          <w:szCs w:val="25"/>
        </w:rPr>
        <w:t xml:space="preserve">естоположение земельного участка установлено относительно ориентира, расположенного за пределами участка, ориентир жилое строение, участок расположен примерно в 96 м от ориентира по направлению на северо-восток, почтовый адрес ориентира: Приморский край, г. Арсеньев, </w:t>
      </w:r>
      <w:r w:rsidR="006023D1">
        <w:rPr>
          <w:rFonts w:ascii="Times New Roman" w:hAnsi="Times New Roman" w:cs="Times New Roman"/>
          <w:sz w:val="25"/>
          <w:szCs w:val="25"/>
        </w:rPr>
        <w:br/>
      </w:r>
      <w:r w:rsidR="00931833" w:rsidRPr="00931833">
        <w:rPr>
          <w:rFonts w:ascii="Times New Roman" w:hAnsi="Times New Roman" w:cs="Times New Roman"/>
          <w:sz w:val="25"/>
          <w:szCs w:val="25"/>
        </w:rPr>
        <w:t>ул. Партизанская, д. 118</w:t>
      </w:r>
      <w:r w:rsidR="00931833"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(далее - Участок), площадью </w:t>
      </w:r>
      <w:r w:rsidR="00F2243C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931833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кв.м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Цель использования: </w:t>
      </w:r>
      <w:r w:rsidR="00F2243C" w:rsidRPr="00F2243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F2243C" w:rsidRPr="00F2243C">
        <w:rPr>
          <w:rFonts w:ascii="Times New Roman" w:hAnsi="Times New Roman" w:cs="Times New Roman"/>
          <w:color w:val="000000"/>
          <w:sz w:val="25"/>
          <w:szCs w:val="25"/>
        </w:rPr>
        <w:t>ля индивидуального жилищного строительства</w:t>
      </w:r>
      <w:r w:rsidR="00F2243C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Разрешенное использование</w:t>
      </w:r>
      <w:r w:rsidR="00F2243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="00F2243C" w:rsidRPr="00F2243C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F2243C" w:rsidRPr="00F2243C">
        <w:rPr>
          <w:rFonts w:ascii="Times New Roman" w:hAnsi="Times New Roman" w:cs="Times New Roman"/>
          <w:color w:val="000000"/>
          <w:sz w:val="25"/>
          <w:szCs w:val="25"/>
        </w:rPr>
        <w:t>ля индивидуального жилищного строительства (2.1)</w:t>
      </w:r>
    </w:p>
    <w:p w14:paraId="322FAF5C" w14:textId="77777777" w:rsidR="00611049" w:rsidRDefault="00904BA1" w:rsidP="00904BA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</w:p>
    <w:p w14:paraId="2819AE35" w14:textId="3A552E8E" w:rsidR="00904BA1" w:rsidRPr="00904BA1" w:rsidRDefault="00904BA1" w:rsidP="0061104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Плата по договору.</w:t>
      </w:r>
    </w:p>
    <w:p w14:paraId="7C3CFCF8" w14:textId="6D4DBB5E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2.1. Цена Участка составляет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руб.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00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коп.</w:t>
      </w:r>
    </w:p>
    <w:p w14:paraId="4AC1AE81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Оплата производится на счет: </w:t>
      </w:r>
    </w:p>
    <w:p w14:paraId="035060CF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3D9EA5CA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</w:t>
      </w:r>
      <w:r w:rsidRPr="00904BA1">
        <w:rPr>
          <w:rFonts w:ascii="Times New Roman" w:eastAsia="Times New Roman" w:hAnsi="Times New Roman" w:cs="Times New Roman"/>
          <w:spacing w:val="-6"/>
          <w:sz w:val="25"/>
          <w:szCs w:val="25"/>
          <w:lang w:eastAsia="ru-RU"/>
        </w:rPr>
        <w:t xml:space="preserve">(Управление имущественных отношений администрации Арсеньевского городского округа)  </w:t>
      </w:r>
    </w:p>
    <w:p w14:paraId="0A4AFFE5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Банк получателя: Дальневосточное ГУ Банка России//УФК по Приморскому краю г. Владивосток. Единый казначейский счет – 40102810545370000012</w:t>
      </w:r>
    </w:p>
    <w:p w14:paraId="7A479F9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 казначейского счета – 03100643000000012000 (л/с 04203022770) БИК 010507002</w:t>
      </w:r>
    </w:p>
    <w:p w14:paraId="28C1AAC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БК 985 114 06012 04 0000 430 код ОКТМО 05703000 </w:t>
      </w:r>
    </w:p>
    <w:p w14:paraId="28C0C518" w14:textId="4520B954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Внесенный Покупателем задаток в размере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руб. </w:t>
      </w:r>
      <w:r w:rsidR="0061104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00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коп. засчитывается в счет оплаты цены Участка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065603C9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2.4. Оплата цены Участка должна быть произведена единовременно в течение 10 дней со дня подписания Договора.</w:t>
      </w:r>
    </w:p>
    <w:p w14:paraId="2CDBF63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</w:t>
      </w:r>
    </w:p>
    <w:p w14:paraId="0D8228D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3. Обязательства и ответственность сторон.</w:t>
      </w:r>
    </w:p>
    <w:p w14:paraId="5564F600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3.1. Продавец предоставляет Покупателю Участок свободным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14:paraId="1D3E458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3.2.  Покупатель ознакомлен с фактическим состоянием Участка и не будет предъявлять претензии, касающиеся его состояния.</w:t>
      </w:r>
    </w:p>
    <w:p w14:paraId="78FF0D1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3.3. Ответственность и права сторон, не предусмотренные в Договоре, определяются в соответствии с законодательством Российской Федерации.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6BA6D1A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79C69FE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4</w:t>
      </w: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Право собственности.</w:t>
      </w:r>
    </w:p>
    <w:p w14:paraId="53F15AD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Право собственности на Участок, являющийся предметом Договора, возникает у Покупателя с момента государственной регистрации перехода права собственности.</w:t>
      </w:r>
    </w:p>
    <w:p w14:paraId="6D363EDF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4.2. Покупатель не вправе совершать любые сделки по отчуждению указанного в п.1.1. имущества до государственной регистрации перехода права собственности на Участок. </w:t>
      </w:r>
    </w:p>
    <w:p w14:paraId="5516D245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</w:t>
      </w:r>
    </w:p>
    <w:p w14:paraId="678D7236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5. Особые условия.</w:t>
      </w:r>
    </w:p>
    <w:p w14:paraId="386376F5" w14:textId="0E9C1B85" w:rsid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Участок расположен в зонах с особыми условиями использования территорий – подзонах №№ 3, 5, 6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приаэродромной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территории аэропорта Арсеньев «Приморский». На всей площади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приаэродромной</w:t>
      </w:r>
      <w:proofErr w:type="spellEnd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14:paraId="7E4ABB4F" w14:textId="77777777" w:rsidR="008A024C" w:rsidRPr="008A024C" w:rsidRDefault="008A024C" w:rsidP="008A024C">
      <w:pPr>
        <w:pStyle w:val="C"/>
        <w:tabs>
          <w:tab w:val="left" w:pos="0"/>
        </w:tabs>
        <w:suppressAutoHyphens/>
        <w:ind w:firstLine="709"/>
        <w:jc w:val="both"/>
        <w:rPr>
          <w:sz w:val="25"/>
          <w:szCs w:val="25"/>
        </w:rPr>
      </w:pPr>
      <w:r w:rsidRPr="008A024C">
        <w:rPr>
          <w:sz w:val="25"/>
          <w:szCs w:val="25"/>
        </w:rPr>
        <w:t xml:space="preserve">5.2. </w:t>
      </w:r>
      <w:r w:rsidRPr="008A024C">
        <w:rPr>
          <w:sz w:val="25"/>
          <w:szCs w:val="25"/>
          <w:lang w:val="x-none" w:eastAsia="x-none"/>
        </w:rPr>
        <w:t xml:space="preserve">При наличии на земельном участке инженерных сетей (наземных, подземных) исключить хозяйственное использование </w:t>
      </w:r>
      <w:r w:rsidRPr="008A024C">
        <w:rPr>
          <w:sz w:val="25"/>
          <w:szCs w:val="25"/>
          <w:lang w:eastAsia="x-none"/>
        </w:rPr>
        <w:t xml:space="preserve">испрашиваемого </w:t>
      </w:r>
      <w:r w:rsidRPr="008A024C">
        <w:rPr>
          <w:sz w:val="25"/>
          <w:szCs w:val="25"/>
          <w:lang w:val="x-none" w:eastAsia="x-none"/>
        </w:rPr>
        <w:t>земельного участка, препятствующее доступу технической служб</w:t>
      </w:r>
      <w:r w:rsidRPr="008A024C">
        <w:rPr>
          <w:sz w:val="25"/>
          <w:szCs w:val="25"/>
          <w:lang w:eastAsia="x-none"/>
        </w:rPr>
        <w:t>ы</w:t>
      </w:r>
      <w:r w:rsidRPr="008A024C">
        <w:rPr>
          <w:sz w:val="25"/>
          <w:szCs w:val="25"/>
          <w:lang w:val="x-none" w:eastAsia="x-none"/>
        </w:rPr>
        <w:t xml:space="preserve"> для ремонта и обслуживания сетей, обеспечить доступ на земельный участок технической службе для ремонта и обслуживания сетей</w:t>
      </w:r>
      <w:r w:rsidRPr="008A024C">
        <w:rPr>
          <w:sz w:val="25"/>
          <w:szCs w:val="25"/>
          <w:lang w:eastAsia="x-none"/>
        </w:rPr>
        <w:t>.</w:t>
      </w:r>
    </w:p>
    <w:p w14:paraId="2FD09748" w14:textId="317977B0" w:rsidR="00904BA1" w:rsidRPr="00904BA1" w:rsidRDefault="008A024C" w:rsidP="00904BA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kern w:val="2"/>
          <w:sz w:val="25"/>
          <w:szCs w:val="25"/>
          <w:lang w:eastAsia="ru-RU"/>
        </w:rPr>
        <w:t>5.3</w:t>
      </w:r>
      <w:r w:rsidR="00904BA1" w:rsidRPr="00904BA1">
        <w:rPr>
          <w:rFonts w:ascii="Times New Roman" w:eastAsia="Calibri" w:hAnsi="Times New Roman" w:cs="Times New Roman"/>
          <w:kern w:val="2"/>
          <w:sz w:val="25"/>
          <w:szCs w:val="25"/>
          <w:lang w:eastAsia="ru-RU"/>
        </w:rPr>
        <w:t>. Покупатель обязан осуществлять мероприятия по пожарной безопасности: п</w:t>
      </w:r>
      <w:r w:rsidR="00904BA1" w:rsidRPr="00904BA1">
        <w:rPr>
          <w:rFonts w:ascii="Times New Roman" w:eastAsia="Calibri" w:hAnsi="Times New Roman" w:cs="Times New Roman"/>
          <w:color w:val="000000"/>
          <w:kern w:val="2"/>
          <w:sz w:val="25"/>
          <w:szCs w:val="25"/>
          <w:lang w:eastAsia="ru-RU"/>
        </w:rPr>
        <w:t>роизводить своевременную уборку мусора, сухой растительности и покос травы.</w:t>
      </w:r>
    </w:p>
    <w:p w14:paraId="70487614" w14:textId="7F702610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5.</w:t>
      </w:r>
      <w:r w:rsidR="008A024C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 наличии на Участке деревьев, подлежащих вырубке, в соответствии с муниципальным правовым актом Думы Арсеньевского городского округа от 01.11.2019 </w:t>
      </w:r>
      <w:r w:rsidR="007676E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bookmarkStart w:id="0" w:name="_GoBack"/>
      <w:bookmarkEnd w:id="0"/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№ 145-МПА «Положение о сносе, пересадке и обрезке зеленых насаждений на территории Арсеньевского городского округа» для получения разрешения на вырубку деревьев, находящихся на Участке, Покупателю необходимо обратиться в администрацию Арсеньевского городского округа.</w:t>
      </w:r>
    </w:p>
    <w:p w14:paraId="26E6BDB3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7D084D2C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6. Заключительные положения.</w:t>
      </w:r>
    </w:p>
    <w:p w14:paraId="4285865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6.1. </w:t>
      </w:r>
      <w:r w:rsidRPr="00904BA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Договор вступает в силу с момента его государственной регистрации в Арсеньевском межмуниципальном отделе Управления Росреестра по Приморскому краю.</w:t>
      </w:r>
    </w:p>
    <w:p w14:paraId="177EE30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6.2. Покупатель осмотрел Участок, ознакомился с его размерами, границами, местоположением и качеством. Продавец передал Участок, Покупатель принял Участок. Договор является документом о передаче Участка.</w:t>
      </w:r>
    </w:p>
    <w:p w14:paraId="79D7C12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6.3. Договор не может быть изменен, расторгнут в одностороннем порядке. Договор также не может быть изменен, расторгнут по соглашению сторон после государственной регистрации.</w:t>
      </w:r>
    </w:p>
    <w:p w14:paraId="6519F7EA" w14:textId="28A97AAE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6.4. Специалисту управления имущественных отношений обеспечить регистрацию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</w:t>
      </w:r>
      <w:r w:rsidR="006023D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«О государственной регистрации недвижимости».</w:t>
      </w:r>
    </w:p>
    <w:p w14:paraId="3048CAD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6.5. Договор составлен в 2-х экземплярах, по одному для Сторон.</w:t>
      </w:r>
    </w:p>
    <w:p w14:paraId="739B479D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7174F3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Адреса и подписи сторон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4447C514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0607C04" w14:textId="77777777" w:rsidR="00904BA1" w:rsidRPr="00904BA1" w:rsidRDefault="00904BA1" w:rsidP="00904BA1">
      <w:pPr>
        <w:tabs>
          <w:tab w:val="left" w:pos="2340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Продавец   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 Арсеньевский городской округ </w:t>
      </w:r>
    </w:p>
    <w:p w14:paraId="6082609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692337, г. Арсеньев, ул. Ленинская, 8</w:t>
      </w:r>
    </w:p>
    <w:p w14:paraId="04BFA6F2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744697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М.П.              ____________________ Т.В. Матвиенко</w:t>
      </w:r>
    </w:p>
    <w:p w14:paraId="52C4DCEE" w14:textId="77777777" w:rsidR="00904BA1" w:rsidRPr="00904BA1" w:rsidRDefault="00904BA1" w:rsidP="0090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CCF117C" w14:textId="5482C934" w:rsidR="00904BA1" w:rsidRPr="00904BA1" w:rsidRDefault="00904BA1" w:rsidP="006110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04BA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Покупатель </w:t>
      </w:r>
      <w:r w:rsidRPr="00904B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–  </w:t>
      </w:r>
      <w:r w:rsidR="00611049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</w:t>
      </w:r>
    </w:p>
    <w:p w14:paraId="3E6160DE" w14:textId="105B1AD6" w:rsidR="00904BA1" w:rsidRDefault="00904BA1"/>
    <w:sectPr w:rsidR="00904BA1" w:rsidSect="00904BA1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57EE0"/>
    <w:multiLevelType w:val="multilevel"/>
    <w:tmpl w:val="4E6E4B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A1"/>
    <w:rsid w:val="001F5E4E"/>
    <w:rsid w:val="002438CD"/>
    <w:rsid w:val="006023D1"/>
    <w:rsid w:val="00611049"/>
    <w:rsid w:val="007676E8"/>
    <w:rsid w:val="008A024C"/>
    <w:rsid w:val="00904BA1"/>
    <w:rsid w:val="00931833"/>
    <w:rsid w:val="00F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DDCB"/>
  <w15:chartTrackingRefBased/>
  <w15:docId w15:val="{16B918A7-59ED-478C-BAEF-AC22E15A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2243C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2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43C"/>
    <w:rPr>
      <w:rFonts w:ascii="Segoe UI" w:hAnsi="Segoe UI" w:cs="Segoe UI"/>
      <w:sz w:val="18"/>
      <w:szCs w:val="18"/>
    </w:rPr>
  </w:style>
  <w:style w:type="paragraph" w:customStyle="1" w:styleId="C">
    <w:name w:val="Обычный/цC"/>
    <w:rsid w:val="008A02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Шулешко Алёна Сергеевна</cp:lastModifiedBy>
  <cp:revision>8</cp:revision>
  <cp:lastPrinted>2024-08-09T06:20:00Z</cp:lastPrinted>
  <dcterms:created xsi:type="dcterms:W3CDTF">2024-06-14T07:24:00Z</dcterms:created>
  <dcterms:modified xsi:type="dcterms:W3CDTF">2024-08-09T06:40:00Z</dcterms:modified>
</cp:coreProperties>
</file>