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8793"/>
      </w:tblGrid>
      <w:tr w:rsidR="00C374E9">
        <w:trPr>
          <w:trHeight w:hRule="exact" w:val="1239"/>
          <w:jc w:val="center"/>
        </w:trPr>
        <w:tc>
          <w:tcPr>
            <w:tcW w:w="8793" w:type="dxa"/>
            <w:shd w:val="clear" w:color="auto" w:fill="auto"/>
          </w:tcPr>
          <w:p w:rsidR="00C374E9" w:rsidRDefault="00701295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4E9">
        <w:trPr>
          <w:trHeight w:val="1001"/>
          <w:jc w:val="center"/>
        </w:trPr>
        <w:tc>
          <w:tcPr>
            <w:tcW w:w="8793" w:type="dxa"/>
            <w:shd w:val="clear" w:color="auto" w:fill="auto"/>
          </w:tcPr>
          <w:p w:rsidR="00C374E9" w:rsidRDefault="00701295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C374E9" w:rsidRDefault="00701295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C374E9">
        <w:trPr>
          <w:trHeight w:val="363"/>
          <w:jc w:val="center"/>
        </w:trPr>
        <w:tc>
          <w:tcPr>
            <w:tcW w:w="8793" w:type="dxa"/>
            <w:shd w:val="clear" w:color="auto" w:fill="auto"/>
          </w:tcPr>
          <w:p w:rsidR="00C374E9" w:rsidRDefault="00701295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C374E9" w:rsidRDefault="00C374E9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E9">
        <w:trPr>
          <w:jc w:val="center"/>
        </w:trPr>
        <w:tc>
          <w:tcPr>
            <w:tcW w:w="8793" w:type="dxa"/>
            <w:shd w:val="clear" w:color="auto" w:fill="auto"/>
          </w:tcPr>
          <w:p w:rsidR="00C374E9" w:rsidRPr="00521043" w:rsidRDefault="00521043" w:rsidP="00521043">
            <w:pPr>
              <w:ind w:right="-81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20 апреля 2022 г.</w:t>
            </w:r>
            <w:r w:rsidR="00701295">
              <w:rPr>
                <w:color w:val="000000"/>
                <w:sz w:val="24"/>
                <w:szCs w:val="24"/>
                <w:lang w:val="en-US"/>
              </w:rPr>
              <w:t>                             </w:t>
            </w:r>
            <w:r w:rsidR="00701295">
              <w:rPr>
                <w:color w:val="000000"/>
                <w:sz w:val="24"/>
                <w:szCs w:val="24"/>
              </w:rPr>
              <w:t>г.Арсеньев</w:t>
            </w:r>
            <w:r w:rsidR="00701295">
              <w:rPr>
                <w:color w:val="000000"/>
                <w:sz w:val="24"/>
                <w:szCs w:val="24"/>
                <w:lang w:val="en-US"/>
              </w:rPr>
              <w:t>                                     </w:t>
            </w:r>
            <w:r w:rsidR="00701295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220-па</w:t>
            </w:r>
          </w:p>
        </w:tc>
      </w:tr>
    </w:tbl>
    <w:p w:rsidR="00C374E9" w:rsidRDefault="00C374E9">
      <w:pPr>
        <w:tabs>
          <w:tab w:val="left" w:pos="8041"/>
        </w:tabs>
        <w:ind w:firstLine="748"/>
      </w:pPr>
    </w:p>
    <w:p w:rsidR="00701295" w:rsidRDefault="00701295">
      <w:pPr>
        <w:tabs>
          <w:tab w:val="left" w:pos="8041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 </w:t>
      </w:r>
    </w:p>
    <w:p w:rsidR="00C374E9" w:rsidRDefault="00701295">
      <w:pPr>
        <w:tabs>
          <w:tab w:val="left" w:pos="8041"/>
        </w:tabs>
        <w:ind w:firstLine="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Арсеньевского городского округа от 06 марта 2020 года № 130-па </w:t>
      </w:r>
    </w:p>
    <w:p w:rsidR="00C374E9" w:rsidRDefault="00701295">
      <w:pPr>
        <w:tabs>
          <w:tab w:val="left" w:pos="8041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«Об утверждении Примерного положения об оплате труда работников муниципальных бюджетных, казенных, автономных</w:t>
      </w:r>
      <w:r>
        <w:rPr>
          <w:b/>
          <w:szCs w:val="28"/>
        </w:rPr>
        <w:t xml:space="preserve"> учреждений, подведомственных администрации Арсеньевского городского округа»</w:t>
      </w:r>
    </w:p>
    <w:p w:rsidR="00C374E9" w:rsidRDefault="00C374E9">
      <w:pPr>
        <w:tabs>
          <w:tab w:val="left" w:pos="8041"/>
        </w:tabs>
        <w:ind w:firstLine="748"/>
        <w:jc w:val="center"/>
        <w:rPr>
          <w:b/>
          <w:szCs w:val="28"/>
        </w:rPr>
      </w:pPr>
    </w:p>
    <w:p w:rsidR="00C374E9" w:rsidRDefault="00C374E9">
      <w:pPr>
        <w:tabs>
          <w:tab w:val="left" w:pos="8041"/>
        </w:tabs>
        <w:ind w:firstLine="748"/>
        <w:jc w:val="center"/>
        <w:rPr>
          <w:b/>
          <w:szCs w:val="28"/>
        </w:rPr>
      </w:pPr>
    </w:p>
    <w:p w:rsidR="00C374E9" w:rsidRDefault="00701295">
      <w:pPr>
        <w:tabs>
          <w:tab w:val="left" w:pos="8041"/>
        </w:tabs>
        <w:spacing w:line="360" w:lineRule="auto"/>
        <w:ind w:firstLine="748"/>
        <w:rPr>
          <w:szCs w:val="28"/>
        </w:rPr>
      </w:pPr>
      <w:r>
        <w:rPr>
          <w:szCs w:val="28"/>
        </w:rPr>
        <w:t>В целях приведения нормативных правовых актов в соответствие действующему законодательству, в соответствии с определением Конституционного суда Российской Федерации от 13 января</w:t>
      </w:r>
      <w:r>
        <w:rPr>
          <w:szCs w:val="28"/>
        </w:rPr>
        <w:t xml:space="preserve"> 2022 года № 1-</w:t>
      </w:r>
      <w:proofErr w:type="gramStart"/>
      <w:r>
        <w:rPr>
          <w:szCs w:val="28"/>
        </w:rPr>
        <w:t>О-Р</w:t>
      </w:r>
      <w:proofErr w:type="gramEnd"/>
      <w:r>
        <w:rPr>
          <w:szCs w:val="28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C374E9" w:rsidRDefault="00C374E9">
      <w:pPr>
        <w:tabs>
          <w:tab w:val="left" w:pos="8041"/>
        </w:tabs>
        <w:ind w:firstLine="748"/>
        <w:rPr>
          <w:szCs w:val="28"/>
        </w:rPr>
      </w:pPr>
    </w:p>
    <w:p w:rsidR="00C374E9" w:rsidRDefault="00701295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ПОСТАНОВЛЯЕТ:</w:t>
      </w:r>
    </w:p>
    <w:p w:rsidR="00C374E9" w:rsidRDefault="00C374E9">
      <w:pPr>
        <w:tabs>
          <w:tab w:val="left" w:pos="8041"/>
        </w:tabs>
        <w:ind w:firstLine="0"/>
        <w:rPr>
          <w:szCs w:val="28"/>
        </w:rPr>
      </w:pPr>
    </w:p>
    <w:p w:rsidR="00C374E9" w:rsidRDefault="00701295">
      <w:pPr>
        <w:numPr>
          <w:ilvl w:val="0"/>
          <w:numId w:val="1"/>
        </w:numPr>
        <w:tabs>
          <w:tab w:val="left" w:pos="0"/>
          <w:tab w:val="left" w:pos="1122"/>
        </w:tabs>
        <w:spacing w:line="360" w:lineRule="auto"/>
        <w:ind w:left="0" w:firstLine="748"/>
        <w:rPr>
          <w:szCs w:val="28"/>
        </w:rPr>
      </w:pPr>
      <w:r>
        <w:rPr>
          <w:szCs w:val="28"/>
        </w:rPr>
        <w:t>Внести в Примерное положение об оплате труда работников муниципальных бюджетных, казенных, автономных учреждений, подведомственных администрации Арсеньевского городского округа, утвержденное постановлением администрации Арсеньевского городского округа от 0</w:t>
      </w:r>
      <w:r>
        <w:rPr>
          <w:szCs w:val="28"/>
        </w:rPr>
        <w:t xml:space="preserve">6 марта 2020 года № 130-па (далее - Примерное положение), следующие изменения: </w:t>
      </w:r>
    </w:p>
    <w:p w:rsidR="00C374E9" w:rsidRDefault="00701295">
      <w:pPr>
        <w:spacing w:line="360" w:lineRule="auto"/>
      </w:pPr>
      <w:r>
        <w:t>1.1. Дополнить позицию третью пункта 3.1 после слов «работе в ночное время» словами «, выходные и нерабочие праздничные дни.»</w:t>
      </w:r>
    </w:p>
    <w:p w:rsidR="00C374E9" w:rsidRDefault="00701295">
      <w:pPr>
        <w:spacing w:line="360" w:lineRule="auto"/>
      </w:pPr>
      <w:r>
        <w:t>1.2. Изложить пункты 3.4, 4.2 в следующей редакции</w:t>
      </w:r>
      <w:r>
        <w:t>:</w:t>
      </w:r>
    </w:p>
    <w:p w:rsidR="00521043" w:rsidRDefault="00701295">
      <w:pPr>
        <w:spacing w:line="360" w:lineRule="auto"/>
        <w:sectPr w:rsidR="00521043" w:rsidSect="00521043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  <w:r>
        <w:t xml:space="preserve">«3.4. Размеры выплат при выполнении предусмотренных статьей 149 Трудового кодекса Российской Федерации работ в условиях, отклоняющихся от нормальных </w:t>
      </w:r>
      <w:bookmarkStart w:id="1" w:name="__DdeLink__17_1234010300"/>
      <w:r>
        <w:t>(при выполнении работ различной квалификации, совмещении профессий (должностей), сверхурочной работе, раб</w:t>
      </w:r>
      <w:r>
        <w:t>оте в ночное время, выходные и нерабочие праздничные дни и при выполнении работ в других условиях, отклоняющихся от нормальных)</w:t>
      </w:r>
      <w:bookmarkEnd w:id="1"/>
      <w:r>
        <w:t>, установленные коллективными договорами, соглашениями, локальными</w:t>
      </w:r>
      <w:r w:rsidR="00521043">
        <w:br/>
      </w:r>
      <w:r w:rsidR="00521043">
        <w:t>нормативными актами и трудовыми договорами не могут быть ниже установленных трудовым законодательством и иными нормативными правовыми актами,</w:t>
      </w:r>
      <w:r>
        <w:t xml:space="preserve"> </w:t>
      </w:r>
      <w:r w:rsidR="00521043">
        <w:br/>
      </w:r>
    </w:p>
    <w:p w:rsidR="00C374E9" w:rsidRDefault="00701295" w:rsidP="00521043">
      <w:pPr>
        <w:spacing w:line="360" w:lineRule="auto"/>
        <w:ind w:firstLine="0"/>
      </w:pPr>
      <w:r>
        <w:t>содержащими нормы трудового права.</w:t>
      </w:r>
    </w:p>
    <w:p w:rsidR="00C374E9" w:rsidRDefault="00701295">
      <w:pPr>
        <w:spacing w:line="360" w:lineRule="auto"/>
      </w:pPr>
      <w:r>
        <w:t>Оплата труда работников при выполнении работ в выходные и нерабочие праздничные дни, наряду с тарифной частью заработной платы, исчисленной в</w:t>
      </w:r>
      <w:r>
        <w:t xml:space="preserve"> соответствующем размере дневной или часовой ставки (части оклада (должностного оклада) за день или час работы), включает все компенсационные и стимулирующие выплаты, предусмотренные установленной для них системой оплаты труда.</w:t>
      </w:r>
    </w:p>
    <w:p w:rsidR="00C374E9" w:rsidRDefault="00701295">
      <w:pPr>
        <w:spacing w:line="360" w:lineRule="auto"/>
      </w:pPr>
      <w:r>
        <w:t>Работа в выходной или нерабо</w:t>
      </w:r>
      <w:r>
        <w:t>чий праздничный день оплачивается не менее чем в двойном размере.</w:t>
      </w:r>
    </w:p>
    <w:p w:rsidR="00C374E9" w:rsidRDefault="00701295">
      <w:pPr>
        <w:spacing w:line="360" w:lineRule="auto"/>
      </w:pPr>
      <w:r>
        <w:t>Конкретные размеры оплаты за работу в выходной или нерабочий праздничный день определяются коллективным договором, локальным нормативным актом или трудовым договором, исходя из оклада с учет</w:t>
      </w:r>
      <w:r>
        <w:t>ом всех компенсационных и стимулирующих выплат, предусмотренных коллективными договорами, соглашениями, локальными нормативными актами.</w:t>
      </w:r>
    </w:p>
    <w:p w:rsidR="00C374E9" w:rsidRDefault="00701295">
      <w:pPr>
        <w:spacing w:line="360" w:lineRule="auto"/>
      </w:pPr>
      <w:r>
        <w:t>Размер доплаты при совмещении профессий (должностей), расширении зоны обслуживания, увеличении объема работы или исполне</w:t>
      </w:r>
      <w:r>
        <w:t>нии обязанностей временно отсутствующего работника без освобождения от основной работы устанавливаются по соглашению сторон трудового договора, устанавливается исходя из оклада по совмещаемой должности с учетом содержания и (или) объема дополнительной рабо</w:t>
      </w:r>
      <w:r>
        <w:t>ты.</w:t>
      </w:r>
    </w:p>
    <w:p w:rsidR="00C374E9" w:rsidRDefault="00701295">
      <w:pPr>
        <w:spacing w:line="360" w:lineRule="auto"/>
      </w:pPr>
      <w:r>
        <w:t xml:space="preserve">Сверхурочная работа оплачивается за первые два часа работы не менее чем в полуторном размере, за последующие часы — не менее чем в двойном размере. </w:t>
      </w:r>
    </w:p>
    <w:p w:rsidR="00C374E9" w:rsidRDefault="00701295">
      <w:pPr>
        <w:spacing w:line="360" w:lineRule="auto"/>
      </w:pPr>
      <w:r>
        <w:t xml:space="preserve">Каждый час работы в ночное время оплачивается в повышенном размере по сравнению с работой в нормальных </w:t>
      </w:r>
      <w:r>
        <w:t xml:space="preserve">условиях. </w:t>
      </w:r>
    </w:p>
    <w:p w:rsidR="00C374E9" w:rsidRDefault="00701295">
      <w:pPr>
        <w:spacing w:line="360" w:lineRule="auto"/>
        <w:rPr>
          <w:szCs w:val="28"/>
        </w:rPr>
      </w:pPr>
      <w:r>
        <w:rPr>
          <w:szCs w:val="28"/>
        </w:rPr>
        <w:t xml:space="preserve">Размер повышения оплаты труда за работу в ночное время (с 22 часов до 6 часов) составляет не более 35% оклада, рассчитанного за каждый час работы в ночное время. Расчет части оклада определяется путем деления оклада на нормативное количество </w:t>
      </w:r>
      <w:r>
        <w:rPr>
          <w:szCs w:val="28"/>
        </w:rPr>
        <w:t>рабочих часов по календарю при 40-часовой рабочей неделе. Минимальный размер доплаты за работу в ночное время составляет 20 процентов оклада, рассчитанных за каждый час работы в ночное время.</w:t>
      </w:r>
    </w:p>
    <w:p w:rsidR="00C374E9" w:rsidRDefault="00701295">
      <w:pPr>
        <w:spacing w:line="360" w:lineRule="auto"/>
        <w:rPr>
          <w:szCs w:val="28"/>
        </w:rPr>
      </w:pPr>
      <w:r>
        <w:rPr>
          <w:szCs w:val="28"/>
        </w:rPr>
        <w:t>3.4.1. Для водителей автотранспорта размер доплаты за ненормиров</w:t>
      </w:r>
      <w:r>
        <w:rPr>
          <w:szCs w:val="28"/>
        </w:rPr>
        <w:t>анный рабочий день составляет не более 50 процентов должностного оклада.</w:t>
      </w:r>
    </w:p>
    <w:p w:rsidR="00C374E9" w:rsidRDefault="00701295">
      <w:pPr>
        <w:spacing w:line="360" w:lineRule="auto"/>
        <w:rPr>
          <w:szCs w:val="28"/>
        </w:rPr>
      </w:pPr>
      <w:r>
        <w:rPr>
          <w:szCs w:val="28"/>
        </w:rPr>
        <w:t>3.4.2. Для водителей автотранспорта размер доплаты за техническое обслуживание автомобилей составляет не более 50 процентов должностного оклада.»</w:t>
      </w:r>
    </w:p>
    <w:p w:rsidR="00C374E9" w:rsidRDefault="00701295">
      <w:pPr>
        <w:spacing w:line="360" w:lineRule="auto"/>
        <w:rPr>
          <w:szCs w:val="28"/>
        </w:rPr>
      </w:pPr>
      <w:r>
        <w:rPr>
          <w:szCs w:val="28"/>
        </w:rPr>
        <w:t xml:space="preserve">«4.2. </w:t>
      </w:r>
      <w:proofErr w:type="gramStart"/>
      <w:r>
        <w:rPr>
          <w:szCs w:val="28"/>
        </w:rPr>
        <w:t>Работникам  устанавливаются</w:t>
      </w:r>
      <w:proofErr w:type="gramEnd"/>
      <w:r>
        <w:rPr>
          <w:szCs w:val="28"/>
        </w:rPr>
        <w:t xml:space="preserve"> сти</w:t>
      </w:r>
      <w:r>
        <w:rPr>
          <w:szCs w:val="28"/>
        </w:rPr>
        <w:t xml:space="preserve">мулирующие выплаты в соответствии с перечнем, указанным в пункте 4.1 настоящего Положения. Решение о введении выплат </w:t>
      </w:r>
      <w:r>
        <w:rPr>
          <w:szCs w:val="28"/>
        </w:rPr>
        <w:lastRenderedPageBreak/>
        <w:t>стимулирующего характера и условиях их осуществления принимаются учреждением самостоятельно в пределах фонда оплаты труда. Размеры и услови</w:t>
      </w:r>
      <w:r>
        <w:rPr>
          <w:szCs w:val="28"/>
        </w:rPr>
        <w:t>я осуществления выплат стимулирующего характера устанавливаются коллективными договорами, соглашениями, локальными нормативными актами.»</w:t>
      </w:r>
    </w:p>
    <w:p w:rsidR="00C374E9" w:rsidRDefault="00701295">
      <w:pPr>
        <w:spacing w:line="360" w:lineRule="auto"/>
        <w:rPr>
          <w:szCs w:val="28"/>
        </w:rPr>
      </w:pPr>
      <w:r>
        <w:rPr>
          <w:szCs w:val="28"/>
        </w:rPr>
        <w:t>1.3. Дополнить пункт 4.3 после слов «с учетом повышающих коэффициентов» словами «, а также к выплатам за работу в выход</w:t>
      </w:r>
      <w:r>
        <w:rPr>
          <w:szCs w:val="28"/>
        </w:rPr>
        <w:t>ные и нерабочие праздничные дни.»</w:t>
      </w:r>
    </w:p>
    <w:p w:rsidR="00C374E9" w:rsidRDefault="00701295">
      <w:pPr>
        <w:tabs>
          <w:tab w:val="left" w:pos="34"/>
        </w:tabs>
        <w:spacing w:line="360" w:lineRule="auto"/>
        <w:ind w:left="20"/>
        <w:rPr>
          <w:szCs w:val="28"/>
        </w:rPr>
      </w:pPr>
      <w:r>
        <w:rPr>
          <w:szCs w:val="28"/>
        </w:rPr>
        <w:t>2. Организационному управлению администрации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C374E9" w:rsidRDefault="00701295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  <w:r>
        <w:rPr>
          <w:szCs w:val="28"/>
        </w:rPr>
        <w:tab/>
        <w:t>3. Н</w:t>
      </w:r>
      <w:r>
        <w:rPr>
          <w:szCs w:val="28"/>
        </w:rPr>
        <w:t xml:space="preserve">астоящее постановление вступает в силу после его официального опубликования. </w:t>
      </w:r>
    </w:p>
    <w:p w:rsidR="00C374E9" w:rsidRDefault="00C374E9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</w:p>
    <w:p w:rsidR="00C374E9" w:rsidRDefault="00701295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  <w:r>
        <w:rPr>
          <w:szCs w:val="28"/>
        </w:rPr>
        <w:tab/>
      </w:r>
    </w:p>
    <w:p w:rsidR="00C374E9" w:rsidRDefault="00701295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Глава городского округа                                                                                    </w:t>
      </w:r>
      <w:proofErr w:type="spellStart"/>
      <w:r>
        <w:rPr>
          <w:szCs w:val="28"/>
        </w:rPr>
        <w:t>В.С.Пивень</w:t>
      </w:r>
      <w:proofErr w:type="spellEnd"/>
      <w:r>
        <w:rPr>
          <w:szCs w:val="28"/>
        </w:rPr>
        <w:t xml:space="preserve">               </w:t>
      </w:r>
    </w:p>
    <w:p w:rsidR="00C374E9" w:rsidRDefault="00C374E9">
      <w:pPr>
        <w:shd w:val="clear" w:color="auto" w:fill="FFFFFF"/>
        <w:ind w:firstLine="0"/>
        <w:rPr>
          <w:szCs w:val="28"/>
        </w:rPr>
      </w:pPr>
    </w:p>
    <w:p w:rsidR="00C374E9" w:rsidRDefault="00C374E9">
      <w:pPr>
        <w:tabs>
          <w:tab w:val="left" w:pos="5670"/>
        </w:tabs>
        <w:ind w:firstLine="0"/>
        <w:rPr>
          <w:szCs w:val="28"/>
        </w:rPr>
      </w:pPr>
    </w:p>
    <w:p w:rsidR="00C374E9" w:rsidRDefault="00C374E9">
      <w:pPr>
        <w:ind w:firstLine="0"/>
        <w:rPr>
          <w:szCs w:val="28"/>
        </w:rPr>
      </w:pPr>
    </w:p>
    <w:p w:rsidR="00C374E9" w:rsidRDefault="00C374E9"/>
    <w:p w:rsidR="00C374E9" w:rsidRDefault="00C374E9"/>
    <w:p w:rsidR="00C374E9" w:rsidRDefault="00C374E9"/>
    <w:p w:rsidR="00C374E9" w:rsidRDefault="00C374E9">
      <w:pPr>
        <w:sectPr w:rsidR="00C374E9" w:rsidSect="00521043">
          <w:pgSz w:w="11906" w:h="16838"/>
          <w:pgMar w:top="1135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C374E9" w:rsidRDefault="00C374E9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374E9" w:rsidRDefault="00C374E9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374E9" w:rsidRDefault="00C374E9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374E9" w:rsidRDefault="00C374E9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374E9" w:rsidRDefault="00C374E9">
      <w:pPr>
        <w:tabs>
          <w:tab w:val="left" w:pos="8041"/>
        </w:tabs>
        <w:spacing w:line="360" w:lineRule="auto"/>
      </w:pPr>
    </w:p>
    <w:p w:rsidR="00C374E9" w:rsidRDefault="00C374E9"/>
    <w:p w:rsidR="00C374E9" w:rsidRDefault="00C374E9"/>
    <w:p w:rsidR="00C374E9" w:rsidRDefault="00C374E9"/>
    <w:sectPr w:rsidR="00C374E9">
      <w:type w:val="continuous"/>
      <w:pgSz w:w="11906" w:h="16838"/>
      <w:pgMar w:top="284" w:right="851" w:bottom="1134" w:left="1418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25AE5"/>
    <w:multiLevelType w:val="multilevel"/>
    <w:tmpl w:val="8C727B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9C79E1"/>
    <w:multiLevelType w:val="multilevel"/>
    <w:tmpl w:val="EBD83B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E9"/>
    <w:rsid w:val="00521043"/>
    <w:rsid w:val="00701295"/>
    <w:rsid w:val="00C3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EC8F"/>
  <w15:docId w15:val="{216CBB58-501E-4FAD-97BE-43C17176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b">
    <w:name w:val="Блочная цитата"/>
    <w:basedOn w:val="a"/>
    <w:qFormat/>
  </w:style>
  <w:style w:type="paragraph" w:styleId="ac">
    <w:name w:val="Subtitle"/>
    <w:basedOn w:val="10"/>
    <w:qFormat/>
  </w:style>
  <w:style w:type="numbering" w:customStyle="1" w:styleId="WW8Num1">
    <w:name w:val="WW8Num1"/>
    <w:qFormat/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765</Words>
  <Characters>4363</Characters>
  <Application>Microsoft Office Word</Application>
  <DocSecurity>0</DocSecurity>
  <Lines>36</Lines>
  <Paragraphs>10</Paragraphs>
  <ScaleCrop>false</ScaleCrop>
  <Company>oem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19</cp:revision>
  <cp:lastPrinted>2022-04-18T16:55:00Z</cp:lastPrinted>
  <dcterms:created xsi:type="dcterms:W3CDTF">2020-02-14T04:06:00Z</dcterms:created>
  <dcterms:modified xsi:type="dcterms:W3CDTF">2022-04-20T06:35:00Z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