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980822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822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80822" w:rsidRDefault="001F7F2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980822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980822" w:rsidRDefault="0098082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822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ind w:left="-124" w:right="-108" w:firstLine="0"/>
              <w:jc w:val="center"/>
            </w:pPr>
            <w:r>
              <w:rPr>
                <w:color w:val="000000"/>
                <w:sz w:val="24"/>
                <w:szCs w:val="24"/>
              </w:rPr>
              <w:t>22 мая 2020 г.</w:t>
            </w:r>
          </w:p>
        </w:tc>
        <w:tc>
          <w:tcPr>
            <w:tcW w:w="4914" w:type="dxa"/>
            <w:shd w:val="clear" w:color="auto" w:fill="auto"/>
          </w:tcPr>
          <w:p w:rsidR="00980822" w:rsidRPr="00A35C5C" w:rsidRDefault="001F7F2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5C5C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10" w:type="dxa"/>
            <w:shd w:val="clear" w:color="auto" w:fill="auto"/>
          </w:tcPr>
          <w:p w:rsidR="00980822" w:rsidRDefault="001F7F2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72-ра</w:t>
            </w:r>
          </w:p>
        </w:tc>
      </w:tr>
    </w:tbl>
    <w:p w:rsidR="00980822" w:rsidRDefault="00980822">
      <w:pPr>
        <w:tabs>
          <w:tab w:val="left" w:pos="8041"/>
        </w:tabs>
        <w:ind w:firstLine="0"/>
      </w:pPr>
    </w:p>
    <w:p w:rsidR="00980822" w:rsidRDefault="00980822"/>
    <w:p w:rsidR="00980822" w:rsidRDefault="001F7F22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>О реализации мероприятий по созданию и организации системы внутреннего обеспечения соответствия требований антимонопольного законодательства</w:t>
      </w:r>
      <w:r>
        <w:rPr>
          <w:rStyle w:val="3"/>
          <w:b/>
          <w:color w:val="000000"/>
        </w:rPr>
        <w:t xml:space="preserve"> в администрации Арсеньевского городского округа</w:t>
      </w:r>
    </w:p>
    <w:p w:rsidR="00980822" w:rsidRDefault="001F7F22">
      <w:pPr>
        <w:tabs>
          <w:tab w:val="left" w:pos="8041"/>
        </w:tabs>
        <w:spacing w:line="360" w:lineRule="auto"/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>
        <w:rPr>
          <w:rStyle w:val="2"/>
          <w:color w:val="000000"/>
        </w:rPr>
        <w:t>В целях реализации распоряжения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</w:t>
      </w:r>
      <w:r>
        <w:rPr>
          <w:szCs w:val="26"/>
        </w:rPr>
        <w:t xml:space="preserve">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szCs w:val="26"/>
        </w:rPr>
        <w:t>)»</w:t>
      </w:r>
      <w:r>
        <w:rPr>
          <w:rStyle w:val="2"/>
          <w:color w:val="000000"/>
        </w:rPr>
        <w:t>, руководствуясь</w:t>
      </w:r>
      <w:r>
        <w:rPr>
          <w:bCs/>
          <w:szCs w:val="26"/>
        </w:rPr>
        <w:t xml:space="preserve"> Уставом Арсеньевского городского округа, </w:t>
      </w:r>
    </w:p>
    <w:p w:rsidR="00980822" w:rsidRDefault="001F7F22">
      <w:pPr>
        <w:spacing w:line="360" w:lineRule="auto"/>
      </w:pPr>
      <w:r>
        <w:rPr>
          <w:szCs w:val="26"/>
        </w:rPr>
        <w:t xml:space="preserve">1.     </w:t>
      </w:r>
      <w:r>
        <w:rPr>
          <w:rStyle w:val="3"/>
          <w:b w:val="0"/>
          <w:color w:val="000000"/>
          <w:sz w:val="26"/>
          <w:szCs w:val="26"/>
        </w:rPr>
        <w:t>Утвердить прилагаемые: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карту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</w:t>
      </w:r>
      <w:r>
        <w:rPr>
          <w:rStyle w:val="3"/>
          <w:b w:val="0"/>
          <w:color w:val="000000"/>
          <w:sz w:val="26"/>
          <w:szCs w:val="26"/>
        </w:rPr>
        <w:t>1);</w:t>
      </w:r>
    </w:p>
    <w:p w:rsidR="00980822" w:rsidRDefault="001F7F22">
      <w:pPr>
        <w:spacing w:line="360" w:lineRule="auto"/>
      </w:pP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 xml:space="preserve">«дорожную карту») по снижению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2);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>перечень муниципальных нормативных правовых актов</w:t>
      </w:r>
      <w:r>
        <w:rPr>
          <w:rStyle w:val="2"/>
          <w:color w:val="000000"/>
        </w:rPr>
        <w:t xml:space="preserve">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, имеющих риск нарушения антимонопольного </w:t>
      </w:r>
      <w:r>
        <w:rPr>
          <w:rStyle w:val="3"/>
          <w:b w:val="0"/>
          <w:color w:val="000000"/>
          <w:sz w:val="26"/>
          <w:szCs w:val="26"/>
        </w:rPr>
        <w:t>законодательства (приложение № 3);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lastRenderedPageBreak/>
        <w:t xml:space="preserve">ключевые показатели эффективности </w:t>
      </w:r>
      <w:r>
        <w:rPr>
          <w:szCs w:val="26"/>
        </w:rPr>
        <w:t xml:space="preserve">функционирования антимонопольного </w:t>
      </w:r>
      <w:proofErr w:type="spellStart"/>
      <w:r>
        <w:rPr>
          <w:szCs w:val="26"/>
        </w:rPr>
        <w:t>комплаенса</w:t>
      </w:r>
      <w:proofErr w:type="spellEnd"/>
      <w:r>
        <w:rPr>
          <w:szCs w:val="26"/>
        </w:rPr>
        <w:t xml:space="preserve"> в администрации Арсеньевского городского округа </w:t>
      </w:r>
      <w:r>
        <w:rPr>
          <w:rStyle w:val="3"/>
          <w:b w:val="0"/>
          <w:color w:val="000000"/>
          <w:sz w:val="26"/>
          <w:szCs w:val="26"/>
        </w:rPr>
        <w:t>(приложение № 4)</w:t>
      </w:r>
      <w:r>
        <w:rPr>
          <w:szCs w:val="26"/>
        </w:rPr>
        <w:t>.</w:t>
      </w:r>
    </w:p>
    <w:p w:rsidR="00980822" w:rsidRDefault="001F7F22">
      <w:pPr>
        <w:tabs>
          <w:tab w:val="left" w:pos="1245"/>
        </w:tabs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 И.А.) обеспечить размещение на оф</w:t>
      </w:r>
      <w:r>
        <w:rPr>
          <w:szCs w:val="26"/>
        </w:rPr>
        <w:t>ициальном сайте администрации Арсеньевского городского округа настоящего распоряжения.</w:t>
      </w:r>
    </w:p>
    <w:p w:rsidR="00A35C5C" w:rsidRDefault="00A35C5C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1F7F22">
      <w:pPr>
        <w:tabs>
          <w:tab w:val="left" w:pos="124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главы городского округа                                                                            С.Л. Черных</w:t>
      </w:r>
    </w:p>
    <w:p w:rsidR="00980822" w:rsidRDefault="001F7F22">
      <w:pPr>
        <w:widowControl/>
        <w:ind w:firstLine="0"/>
        <w:jc w:val="left"/>
        <w:rPr>
          <w:szCs w:val="26"/>
        </w:rPr>
      </w:pPr>
      <w:r>
        <w:br w:type="page"/>
      </w: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  <w:sectPr w:rsidR="00980822">
          <w:pgSz w:w="11906" w:h="16838"/>
          <w:pgMar w:top="567" w:right="851" w:bottom="1194" w:left="1418" w:header="0" w:footer="0" w:gutter="0"/>
          <w:cols w:space="720"/>
          <w:formProt w:val="0"/>
          <w:docGrid w:linePitch="600" w:charSpace="28672"/>
        </w:sectPr>
      </w:pPr>
    </w:p>
    <w:p w:rsidR="00980822" w:rsidRDefault="001F7F22">
      <w:pPr>
        <w:pStyle w:val="ConsPlusNormal"/>
        <w:tabs>
          <w:tab w:val="left" w:pos="12135"/>
        </w:tabs>
        <w:spacing w:line="360" w:lineRule="auto"/>
        <w:ind w:right="794" w:firstLine="709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                                                                </w:t>
      </w:r>
    </w:p>
    <w:p w:rsidR="00980822" w:rsidRDefault="001F7F22">
      <w:pPr>
        <w:pStyle w:val="ConsPlusNormal"/>
        <w:tabs>
          <w:tab w:val="left" w:pos="12135"/>
        </w:tabs>
        <w:ind w:right="794" w:firstLine="709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</w:t>
      </w:r>
    </w:p>
    <w:p w:rsidR="00980822" w:rsidRDefault="001F7F22">
      <w:pPr>
        <w:pStyle w:val="ConsPlusNormal"/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Арсеньевского городского округа</w:t>
      </w:r>
    </w:p>
    <w:p w:rsidR="00980822" w:rsidRDefault="001F7F22">
      <w:pPr>
        <w:pStyle w:val="ConsPlusNormal"/>
        <w:tabs>
          <w:tab w:val="left" w:pos="975"/>
        </w:tabs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«22» мая 2020 года № 72-ра</w:t>
      </w:r>
    </w:p>
    <w:p w:rsidR="00980822" w:rsidRDefault="00980822">
      <w:pPr>
        <w:jc w:val="center"/>
        <w:rPr>
          <w:b/>
          <w:sz w:val="28"/>
          <w:szCs w:val="28"/>
        </w:rPr>
      </w:pPr>
    </w:p>
    <w:p w:rsidR="00980822" w:rsidRDefault="001F7F22">
      <w:pPr>
        <w:jc w:val="center"/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-рисков администрации Арсеньевского городского округа</w:t>
      </w:r>
    </w:p>
    <w:p w:rsidR="00980822" w:rsidRDefault="00980822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35"/>
        <w:gridCol w:w="2848"/>
        <w:gridCol w:w="3115"/>
        <w:gridCol w:w="2477"/>
        <w:gridCol w:w="1625"/>
        <w:gridCol w:w="1980"/>
      </w:tblGrid>
      <w:tr w:rsidR="00980822"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jc w:val="center"/>
            </w:pPr>
            <w:r>
              <w:rPr>
                <w:rStyle w:val="a3"/>
                <w:sz w:val="26"/>
                <w:szCs w:val="26"/>
              </w:rPr>
              <w:t>№</w:t>
            </w:r>
          </w:p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п/п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Уровень риска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Вид риска (описание)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Причины и условия возникновения (описание)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1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нормативных правовых актов (далее – НПА), </w:t>
            </w:r>
            <w:r>
              <w:rPr>
                <w:sz w:val="26"/>
                <w:szCs w:val="26"/>
              </w:rPr>
              <w:t>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</w:t>
            </w:r>
            <w:r>
              <w:rPr>
                <w:sz w:val="26"/>
                <w:szCs w:val="26"/>
              </w:rPr>
              <w:t>гласования проекта НПА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5385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2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закупок товаров, работ, услуг для государственных нужд; предоставление </w:t>
            </w:r>
            <w:r>
              <w:rPr>
                <w:sz w:val="26"/>
                <w:szCs w:val="26"/>
              </w:rPr>
              <w:t>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</w:t>
            </w:r>
            <w:r>
              <w:rPr>
                <w:sz w:val="26"/>
                <w:szCs w:val="26"/>
              </w:rPr>
              <w:t>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</w:t>
            </w:r>
            <w:r>
              <w:rPr>
                <w:sz w:val="26"/>
                <w:szCs w:val="26"/>
              </w:rPr>
              <w:t xml:space="preserve">кой Федерации о контрактной системе в сфере закупок товаров, работ, услуг </w:t>
            </w:r>
            <w:r>
              <w:rPr>
                <w:sz w:val="26"/>
                <w:szCs w:val="26"/>
              </w:rPr>
              <w:lastRenderedPageBreak/>
              <w:t>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профессиональной подготовки работников, обучение </w:t>
            </w:r>
            <w:r>
              <w:rPr>
                <w:sz w:val="26"/>
                <w:szCs w:val="26"/>
              </w:rPr>
              <w:t>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</w:t>
            </w:r>
            <w:r>
              <w:rPr>
                <w:sz w:val="26"/>
                <w:szCs w:val="26"/>
              </w:rPr>
              <w:t xml:space="preserve">актики; контроль процесса подготовки закупочной документации </w:t>
            </w:r>
            <w:r>
              <w:rPr>
                <w:sz w:val="26"/>
                <w:szCs w:val="26"/>
              </w:rPr>
              <w:lastRenderedPageBreak/>
              <w:t>(документации по торгам) на стадии согласования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3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преференций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Недостаточный уровень внутреннего контроля; недостаточный уровень квалификации </w:t>
            </w:r>
            <w:r>
              <w:rPr>
                <w:sz w:val="26"/>
                <w:szCs w:val="26"/>
              </w:rPr>
              <w:t>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</w:t>
            </w:r>
            <w:r>
              <w:rPr>
                <w:sz w:val="26"/>
                <w:szCs w:val="26"/>
              </w:rPr>
              <w:t>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547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 xml:space="preserve">4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</w:t>
            </w:r>
            <w:r>
              <w:rPr>
                <w:sz w:val="26"/>
                <w:szCs w:val="26"/>
              </w:rPr>
              <w:t>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</w:t>
            </w:r>
            <w:r>
              <w:rPr>
                <w:sz w:val="26"/>
                <w:szCs w:val="26"/>
              </w:rPr>
              <w:t xml:space="preserve"> наличие конфликта интересов;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</w:t>
            </w:r>
            <w:r>
              <w:rPr>
                <w:sz w:val="26"/>
                <w:szCs w:val="26"/>
              </w:rPr>
              <w:t>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5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и курирование подведомственных </w:t>
            </w:r>
            <w:r>
              <w:rPr>
                <w:sz w:val="26"/>
                <w:szCs w:val="26"/>
              </w:rPr>
              <w:t>учреждений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Недостаточный уровень внутреннего контроля; недостаточный уровень квалификации специалистов; </w:t>
            </w:r>
            <w:r>
              <w:rPr>
                <w:sz w:val="26"/>
                <w:szCs w:val="26"/>
              </w:rPr>
              <w:lastRenderedPageBreak/>
              <w:t>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Повышение профессиональной подгото</w:t>
            </w:r>
            <w:r>
              <w:rPr>
                <w:sz w:val="26"/>
                <w:szCs w:val="26"/>
              </w:rPr>
              <w:t xml:space="preserve">вки работников, обучение сотрудников; </w:t>
            </w:r>
            <w:r>
              <w:rPr>
                <w:sz w:val="26"/>
                <w:szCs w:val="26"/>
              </w:rPr>
              <w:lastRenderedPageBreak/>
              <w:t>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6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Нарушение порядка </w:t>
            </w:r>
            <w:r>
              <w:rPr>
                <w:sz w:val="26"/>
                <w:szCs w:val="26"/>
              </w:rPr>
              <w:t>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Недостаточный уровень внутреннего </w:t>
            </w:r>
            <w:r>
              <w:rPr>
                <w:sz w:val="26"/>
                <w:szCs w:val="26"/>
              </w:rPr>
              <w:t>контроля; недостаточный уровень квалификации специалистов; высокая нагрузка сотрудников; наличие конфликта интересов; отсутствие 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</w:t>
            </w:r>
            <w:r>
              <w:rPr>
                <w:sz w:val="26"/>
                <w:szCs w:val="26"/>
              </w:rPr>
              <w:t xml:space="preserve">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осуществление текущего </w:t>
            </w:r>
            <w:r>
              <w:rPr>
                <w:sz w:val="26"/>
                <w:szCs w:val="26"/>
              </w:rPr>
              <w:t>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 xml:space="preserve">7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Необоснованный отказ в предоставлении </w:t>
            </w:r>
            <w:r>
              <w:rPr>
                <w:sz w:val="26"/>
                <w:szCs w:val="26"/>
              </w:rPr>
              <w:t>муниципальной услуги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  <w:p w:rsidR="00980822" w:rsidRDefault="001F7F22">
            <w:pPr>
              <w:pStyle w:val="ac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</w:t>
            </w:r>
            <w:r>
              <w:rPr>
                <w:sz w:val="26"/>
                <w:szCs w:val="26"/>
              </w:rPr>
              <w:t>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</w:t>
            </w:r>
            <w:r>
              <w:rPr>
                <w:sz w:val="26"/>
                <w:szCs w:val="26"/>
              </w:rPr>
              <w:t>ет</w:t>
            </w:r>
          </w:p>
        </w:tc>
      </w:tr>
      <w:tr w:rsidR="00980822">
        <w:trPr>
          <w:trHeight w:val="4247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</w:t>
            </w:r>
            <w:proofErr w:type="spellStart"/>
            <w:r>
              <w:rPr>
                <w:sz w:val="26"/>
                <w:szCs w:val="26"/>
              </w:rPr>
              <w:t>антиконкурентного</w:t>
            </w:r>
            <w:proofErr w:type="spellEnd"/>
            <w:r>
              <w:rPr>
                <w:sz w:val="26"/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</w:tbl>
    <w:p w:rsidR="00980822" w:rsidRDefault="00980822"/>
    <w:p w:rsidR="00980822" w:rsidRDefault="00980822">
      <w:pPr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1F7F22">
      <w:pPr>
        <w:spacing w:line="360" w:lineRule="auto"/>
        <w:ind w:left="5529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Приложение № 2</w:t>
      </w:r>
    </w:p>
    <w:p w:rsidR="00980822" w:rsidRDefault="001F7F22">
      <w:pPr>
        <w:ind w:left="5529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УТВЕРЖДЁН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Арсеньевского городского округа</w:t>
      </w:r>
    </w:p>
    <w:p w:rsidR="00980822" w:rsidRPr="00A35C5C" w:rsidRDefault="001F7F22">
      <w:pPr>
        <w:pStyle w:val="ConsPlusNormal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35C5C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980822" w:rsidRDefault="001F7F22">
      <w:pPr>
        <w:pStyle w:val="30"/>
        <w:spacing w:before="0" w:after="0" w:line="298" w:lineRule="exact"/>
        <w:ind w:left="540"/>
        <w:jc w:val="center"/>
      </w:pPr>
      <w:r>
        <w:rPr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рисков  администрации</w:t>
      </w:r>
      <w:proofErr w:type="gramEnd"/>
      <w:r>
        <w:rPr>
          <w:b/>
          <w:sz w:val="28"/>
          <w:szCs w:val="28"/>
        </w:rPr>
        <w:t xml:space="preserve"> Арсеньевского городского округа</w:t>
      </w:r>
    </w:p>
    <w:p w:rsidR="00980822" w:rsidRDefault="00980822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26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4264"/>
        <w:gridCol w:w="2718"/>
        <w:gridCol w:w="1817"/>
        <w:gridCol w:w="2469"/>
      </w:tblGrid>
      <w:tr w:rsidR="00980822">
        <w:trPr>
          <w:trHeight w:hRule="exact" w:val="16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center"/>
            </w:pPr>
            <w:proofErr w:type="spellStart"/>
            <w:r>
              <w:rPr>
                <w:rStyle w:val="21"/>
              </w:rPr>
              <w:t>Комплаенс</w:t>
            </w:r>
            <w:proofErr w:type="spellEnd"/>
            <w:r>
              <w:rPr>
                <w:rStyle w:val="21"/>
              </w:rPr>
              <w:t xml:space="preserve"> -риск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302" w:lineRule="exact"/>
              <w:jc w:val="center"/>
            </w:pPr>
            <w:r>
              <w:rPr>
                <w:rStyle w:val="21"/>
              </w:rPr>
              <w:t xml:space="preserve">Мероприятия, направленные на минимизацию и устранение  </w:t>
            </w:r>
            <w:proofErr w:type="spellStart"/>
            <w:r>
              <w:rPr>
                <w:rStyle w:val="21"/>
              </w:rPr>
              <w:t>комплаенс</w:t>
            </w:r>
            <w:proofErr w:type="spellEnd"/>
            <w:r>
              <w:rPr>
                <w:rStyle w:val="21"/>
              </w:rPr>
              <w:t>-риска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center"/>
            </w:pPr>
            <w:r>
              <w:rPr>
                <w:rStyle w:val="21"/>
              </w:rPr>
              <w:t>Ответственный исполнитель (должностное лицо организации, структурные подразделения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Срок</w:t>
            </w:r>
          </w:p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исполнения</w:t>
            </w:r>
          </w:p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мероприятий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center"/>
            </w:pPr>
            <w:r>
              <w:rPr>
                <w:rStyle w:val="21"/>
              </w:rPr>
              <w:t>Ожидаемый</w:t>
            </w:r>
          </w:p>
          <w:p w:rsidR="00980822" w:rsidRDefault="001F7F22">
            <w:pPr>
              <w:pStyle w:val="30"/>
              <w:spacing w:before="120" w:after="0" w:line="240" w:lineRule="exact"/>
              <w:jc w:val="center"/>
            </w:pPr>
            <w:r>
              <w:rPr>
                <w:rStyle w:val="21"/>
              </w:rPr>
              <w:t>результат</w:t>
            </w:r>
          </w:p>
        </w:tc>
      </w:tr>
      <w:tr w:rsidR="00980822">
        <w:trPr>
          <w:trHeight w:hRule="exact" w:val="29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Принятие </w:t>
            </w:r>
            <w:r>
              <w:rPr>
                <w:rStyle w:val="21"/>
              </w:rPr>
              <w:t>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анализ проектов муниципал</w:t>
            </w:r>
            <w:r>
              <w:rPr>
                <w:rStyle w:val="21"/>
              </w:rPr>
              <w:t>ьных правовых актов на соответствие требованиям антимонопольного законодательства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Минимизация рисков за счет повышения уровня компетенции </w:t>
            </w:r>
            <w:r>
              <w:rPr>
                <w:rStyle w:val="21"/>
              </w:rPr>
              <w:t>сотрудников при подготовке проектов муниципальных правовых актов</w:t>
            </w:r>
          </w:p>
        </w:tc>
      </w:tr>
      <w:tr w:rsidR="00980822">
        <w:trPr>
          <w:trHeight w:hRule="exact" w:val="32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</w:t>
            </w:r>
            <w:r>
              <w:rPr>
                <w:rStyle w:val="21"/>
              </w:rPr>
              <w:lastRenderedPageBreak/>
              <w:t>то</w:t>
            </w:r>
            <w:r>
              <w:rPr>
                <w:rStyle w:val="21"/>
              </w:rPr>
              <w:t>ргов)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tabs>
                <w:tab w:val="left" w:pos="771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lastRenderedPageBreak/>
              <w:t>Повышение квалификации сотрудников, ответственных за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предоставления муниципального имущества в аренду, безвозмездное пользование;</w:t>
            </w:r>
          </w:p>
          <w:p w:rsidR="00980822" w:rsidRDefault="001F7F22">
            <w:pPr>
              <w:pStyle w:val="30"/>
              <w:tabs>
                <w:tab w:val="left" w:pos="149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эффективности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управления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администрации Арсеньевского </w:t>
            </w:r>
            <w:r>
              <w:rPr>
                <w:rStyle w:val="21"/>
              </w:rPr>
              <w:t>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980822">
        <w:trPr>
          <w:trHeight w:hRule="exact" w:val="33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line="240" w:lineRule="exact"/>
              <w:jc w:val="left"/>
            </w:pPr>
            <w:r>
              <w:rPr>
                <w:rStyle w:val="21"/>
              </w:rPr>
              <w:t>Создание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необоснованных преимуществ юридическим и физическим лицам при предоставлении </w:t>
            </w:r>
            <w:r>
              <w:rPr>
                <w:rStyle w:val="21"/>
              </w:rPr>
              <w:t>муниципальных преференций, проведении конкурсов на получение грантов, субсидий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980822" w:rsidRDefault="001F7F22">
            <w:pPr>
              <w:pStyle w:val="30"/>
              <w:spacing w:before="0" w:after="0" w:line="298" w:lineRule="exact"/>
              <w:ind w:right="540"/>
              <w:jc w:val="left"/>
            </w:pPr>
            <w:r>
              <w:rPr>
                <w:rStyle w:val="21"/>
              </w:rPr>
              <w:t>повышения квалификации сотрудников Администраци</w:t>
            </w:r>
            <w:r>
              <w:rPr>
                <w:rStyle w:val="21"/>
              </w:rPr>
              <w:t>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left"/>
            </w:pPr>
            <w:r>
              <w:rPr>
                <w:rStyle w:val="21"/>
              </w:rPr>
              <w:t xml:space="preserve">При предоставлении муниципальных преференций, </w:t>
            </w:r>
            <w:r>
              <w:rPr>
                <w:rStyle w:val="21"/>
              </w:rPr>
              <w:t>проведении конкурсов на получение грантов, субсидий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980822">
        <w:trPr>
          <w:trHeight w:hRule="exact" w:val="21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tabs>
                <w:tab w:val="left" w:pos="876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Повышение квалификации </w:t>
            </w:r>
            <w:r>
              <w:rPr>
                <w:rStyle w:val="21"/>
              </w:rPr>
              <w:t>сотрудников, ответственных за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проведение закупок;</w:t>
            </w:r>
          </w:p>
          <w:p w:rsidR="00980822" w:rsidRDefault="001F7F22">
            <w:pPr>
              <w:pStyle w:val="30"/>
              <w:tabs>
                <w:tab w:val="left" w:pos="914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40" w:lineRule="auto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за сче</w:t>
            </w:r>
            <w:r>
              <w:rPr>
                <w:rStyle w:val="21"/>
              </w:rPr>
              <w:t>т повышения уровня компетенций сотрудников,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980822">
        <w:trPr>
          <w:trHeight w:hRule="exact" w:val="396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 xml:space="preserve">Не предусмотренное федеральными законами или иными нормативными правовыми актами ограничение доступа к участию в торгах, </w:t>
            </w:r>
            <w:r>
              <w:rPr>
                <w:rStyle w:val="21"/>
              </w:rPr>
              <w:t>запросе котировок, запросе предложений;</w:t>
            </w: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Cs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</w:tr>
      <w:tr w:rsidR="00980822" w:rsidTr="00A35C5C">
        <w:trPr>
          <w:trHeight w:hRule="exact" w:val="287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980822" w:rsidRDefault="00980822">
            <w:pPr>
              <w:pStyle w:val="30"/>
              <w:spacing w:before="0" w:after="0" w:line="298" w:lineRule="exact"/>
              <w:jc w:val="center"/>
              <w:rPr>
                <w:rStyle w:val="21"/>
              </w:rPr>
            </w:pP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rStyle w:val="21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Cs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rStyle w:val="21"/>
              </w:rPr>
            </w:pPr>
          </w:p>
        </w:tc>
      </w:tr>
      <w:tr w:rsidR="00980822" w:rsidTr="00A35C5C">
        <w:trPr>
          <w:trHeight w:hRule="exact" w:val="54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1F7F22">
            <w:pPr>
              <w:pStyle w:val="30"/>
              <w:spacing w:after="0" w:line="298" w:lineRule="exact"/>
              <w:jc w:val="left"/>
            </w:pPr>
            <w:r>
              <w:rPr>
                <w:rStyle w:val="21"/>
              </w:rPr>
              <w:lastRenderedPageBreak/>
              <w:t xml:space="preserve">Ограничение конкуренции между участниками торгов, участниками запроса котировок, </w:t>
            </w:r>
            <w:r>
              <w:rPr>
                <w:rStyle w:val="21"/>
              </w:rPr>
              <w:t>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</w:t>
            </w:r>
            <w:r>
              <w:rPr>
                <w:rStyle w:val="21"/>
              </w:rPr>
              <w:t>редложений</w:t>
            </w: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rStyle w:val="21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rStyle w:val="21"/>
              </w:rPr>
            </w:pPr>
          </w:p>
        </w:tc>
      </w:tr>
    </w:tbl>
    <w:p w:rsidR="00980822" w:rsidRDefault="00980822">
      <w:pPr>
        <w:sectPr w:rsidR="00980822">
          <w:pgSz w:w="16838" w:h="11906" w:orient="landscape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:rsidR="00980822" w:rsidRDefault="001F7F22">
      <w:pPr>
        <w:spacing w:line="360" w:lineRule="auto"/>
        <w:ind w:left="5529" w:right="-31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Приложение № 3</w:t>
      </w:r>
    </w:p>
    <w:p w:rsidR="00980822" w:rsidRDefault="001F7F22">
      <w:pPr>
        <w:ind w:left="5529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УТВЕРЖДЁН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Pr="00855B88" w:rsidRDefault="001F7F22">
      <w:pPr>
        <w:pStyle w:val="ConsPlusNormal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55B88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ConsPlusNormal"/>
        <w:tabs>
          <w:tab w:val="left" w:pos="975"/>
        </w:tabs>
        <w:ind w:left="5529" w:firstLine="709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22" w:rsidRDefault="001F7F22">
      <w:pPr>
        <w:pStyle w:val="22"/>
        <w:spacing w:before="0" w:after="296"/>
        <w:ind w:right="60"/>
      </w:pPr>
      <w:r>
        <w:rPr>
          <w:rStyle w:val="20"/>
          <w:b/>
          <w:color w:val="000000"/>
          <w:sz w:val="28"/>
          <w:szCs w:val="28"/>
        </w:rPr>
        <w:t>Перечень муниципальных, нормативных правовых актов Арсеньевского го</w:t>
      </w:r>
      <w:r>
        <w:rPr>
          <w:rStyle w:val="20"/>
          <w:b/>
          <w:color w:val="000000"/>
          <w:sz w:val="28"/>
          <w:szCs w:val="28"/>
        </w:rPr>
        <w:t>родского округа имеющих риск нарушения антимонопольного законодательства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7562"/>
        <w:gridCol w:w="3419"/>
        <w:gridCol w:w="3069"/>
      </w:tblGrid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980822" w:rsidRDefault="001F7F22">
            <w:pPr>
              <w:pStyle w:val="23"/>
              <w:spacing w:before="60" w:after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Реквизиты и наименование НПА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Норма антимонопольного законодательства, которая может иметь риск нарушения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Соответствие (несоответствие) нормативного правого акта такой норме анти</w:t>
            </w:r>
            <w:r>
              <w:rPr>
                <w:rStyle w:val="212pt1"/>
                <w:color w:val="000000"/>
              </w:rPr>
              <w:t>монопольного законодательства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</w:tr>
      <w:tr w:rsidR="00980822" w:rsidTr="00855B88">
        <w:trPr>
          <w:trHeight w:val="23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Normal"/>
              <w:jc w:val="center"/>
            </w:pPr>
            <w:r>
              <w:rPr>
                <w:rStyle w:val="211pt"/>
                <w:rFonts w:eastAsia="Calibri"/>
                <w:color w:val="000000"/>
                <w:sz w:val="26"/>
                <w:szCs w:val="26"/>
              </w:rPr>
              <w:t xml:space="preserve">   </w:t>
            </w:r>
            <w:bookmarkStart w:id="0" w:name="OLE_LINK3"/>
            <w:r>
              <w:rPr>
                <w:rStyle w:val="211pt"/>
                <w:color w:val="000000"/>
                <w:sz w:val="26"/>
                <w:szCs w:val="26"/>
              </w:rPr>
              <w:t xml:space="preserve">Постановление администрации </w:t>
            </w:r>
            <w:bookmarkEnd w:id="0"/>
            <w:r>
              <w:rPr>
                <w:rStyle w:val="211pt"/>
                <w:color w:val="000000"/>
                <w:sz w:val="26"/>
                <w:szCs w:val="26"/>
              </w:rPr>
              <w:t>Арсеньевского городского округа от 19.10.2018 № 680-па «Об утверждении Порядка осуществления контроля за соблюдением Федерального закона</w:t>
            </w:r>
          </w:p>
          <w:p w:rsidR="00980822" w:rsidRDefault="001F7F22">
            <w:pPr>
              <w:pStyle w:val="ConsPlusNormal"/>
              <w:jc w:val="center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«О контрактной системе в сфере закупок </w:t>
            </w:r>
            <w:r>
              <w:rPr>
                <w:rStyle w:val="211pt"/>
                <w:color w:val="000000"/>
                <w:sz w:val="26"/>
                <w:szCs w:val="26"/>
              </w:rPr>
              <w:t>товаров, работ, услуг для обеспечения государственных и муниципальных нужд» органом внутреннего муниципального финансового контроля Арсеньевского городского округа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</w:t>
            </w:r>
            <w:r>
              <w:rPr>
                <w:rStyle w:val="211pt"/>
                <w:color w:val="000000"/>
              </w:rPr>
              <w:t>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855B88" w:rsidRDefault="00855B88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980822" w:rsidRDefault="00980822" w:rsidP="00855B88">
            <w:pPr>
              <w:pStyle w:val="23"/>
              <w:spacing w:before="0" w:after="60" w:line="274" w:lineRule="exact"/>
              <w:ind w:firstLine="0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855B88">
            <w:pPr>
              <w:pStyle w:val="23"/>
              <w:spacing w:before="0" w:after="60" w:line="22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</w:t>
            </w:r>
            <w:r w:rsidR="001F7F22">
              <w:rPr>
                <w:rStyle w:val="211pt"/>
                <w:color w:val="000000"/>
              </w:rPr>
              <w:t>оответствие</w:t>
            </w:r>
          </w:p>
          <w:p w:rsidR="00855B88" w:rsidRDefault="00855B88">
            <w:pPr>
              <w:pStyle w:val="23"/>
              <w:spacing w:before="0" w:after="60" w:line="220" w:lineRule="exact"/>
              <w:ind w:firstLine="0"/>
              <w:jc w:val="center"/>
            </w:pP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Pr="00855B88" w:rsidRDefault="001F7F22">
            <w:pPr>
              <w:pStyle w:val="10"/>
              <w:keepNext/>
              <w:keepLines/>
              <w:spacing w:before="0" w:after="0" w:line="322" w:lineRule="exact"/>
              <w:jc w:val="left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 xml:space="preserve"> Постановление администрации Арсеньевского городского округа от 06.03.2014 № 160-</w:t>
            </w:r>
            <w:proofErr w:type="gramStart"/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па</w:t>
            </w:r>
            <w:r>
              <w:rPr>
                <w:rStyle w:val="212pt1"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3"/>
                <w:b/>
                <w:bCs/>
                <w:color w:val="000000"/>
                <w:sz w:val="26"/>
                <w:szCs w:val="26"/>
              </w:rPr>
              <w:t>«</w:t>
            </w:r>
            <w:proofErr w:type="gramEnd"/>
            <w:r w:rsidRPr="00855B88">
              <w:rPr>
                <w:rStyle w:val="3"/>
                <w:bCs/>
                <w:color w:val="000000"/>
                <w:sz w:val="26"/>
                <w:szCs w:val="26"/>
              </w:rPr>
              <w:t>О создании контрактной службы администрации Арсеньевского городского округа</w:t>
            </w:r>
            <w:r w:rsidRPr="00855B88">
              <w:rPr>
                <w:rStyle w:val="1"/>
                <w:color w:val="000000"/>
                <w:sz w:val="26"/>
                <w:szCs w:val="26"/>
              </w:rPr>
              <w:t>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15, ст. 17 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</w:t>
            </w:r>
            <w:proofErr w:type="gramStart"/>
            <w:r>
              <w:rPr>
                <w:rStyle w:val="211pt"/>
                <w:color w:val="000000"/>
              </w:rPr>
              <w:t>Федерального  закона</w:t>
            </w:r>
            <w:proofErr w:type="gramEnd"/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</w:t>
            </w:r>
            <w:r>
              <w:rPr>
                <w:rStyle w:val="211pt"/>
                <w:color w:val="000000"/>
              </w:rPr>
              <w:t xml:space="preserve">                «О защите конкуренции»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color w:val="000000"/>
                <w:sz w:val="26"/>
                <w:szCs w:val="26"/>
              </w:rPr>
              <w:t>-</w:t>
            </w:r>
            <w:bookmarkStart w:id="1" w:name="__DdeLink__520_307225157"/>
            <w:r>
              <w:rPr>
                <w:rStyle w:val="211pt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от 01.07.2019 № 470-па «Об утверждении Порядка организации снабжения населения Арсеньевского городского округа твёрдым топливом (дровами)»;</w:t>
            </w:r>
            <w:bookmarkEnd w:id="1"/>
          </w:p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от 01.07.2019 № 47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1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-па «Об утверждении Порядка определения </w:t>
            </w:r>
            <w:proofErr w:type="spellStart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топливоснабжающей</w:t>
            </w:r>
            <w:proofErr w:type="spellEnd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 организации для снабжения населения Арсеньевского городского округа твёрдым топливом»;</w:t>
            </w:r>
          </w:p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го городского от 0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5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.07.2019 № 4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85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-па «О проведении открытого конкурса по определению </w:t>
            </w:r>
            <w:proofErr w:type="spellStart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топливоснабжающей</w:t>
            </w:r>
            <w:proofErr w:type="spellEnd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 организации для снабжения населения Арсеньевского городского округа твёрдым топливом (дровами)»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</w:t>
            </w:r>
            <w:r>
              <w:rPr>
                <w:rStyle w:val="211pt"/>
                <w:color w:val="000000"/>
              </w:rPr>
              <w:t xml:space="preserve">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49633C" w:rsidRDefault="0049633C" w:rsidP="0049633C">
            <w:pPr>
              <w:pStyle w:val="23"/>
              <w:spacing w:before="0" w:after="60" w:line="22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jc w:val="center"/>
            </w:pPr>
            <w:r>
              <w:rPr>
                <w:bCs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Cs/>
                <w:color w:val="000000"/>
                <w:szCs w:val="26"/>
              </w:rPr>
              <w:t xml:space="preserve">Арсеньевского городского от 05.03.2012 № 17-мпа «Положение о порядке управления и распоряжения муниципальной собственностью </w:t>
            </w:r>
          </w:p>
          <w:p w:rsidR="00980822" w:rsidRDefault="001F7F22">
            <w:pPr>
              <w:jc w:val="center"/>
            </w:pPr>
            <w:r>
              <w:rPr>
                <w:bCs/>
                <w:szCs w:val="26"/>
              </w:rPr>
              <w:t>Арсеньевского городского округа»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rPr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</w:t>
            </w:r>
            <w:r>
              <w:rPr>
                <w:rStyle w:val="211pt"/>
                <w:sz w:val="26"/>
                <w:szCs w:val="26"/>
              </w:rPr>
              <w:t>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  <w:tr w:rsidR="00980822">
        <w:trPr>
          <w:trHeight w:val="12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22"/>
              <w:keepNext/>
              <w:keepLines/>
              <w:spacing w:before="0" w:after="296"/>
              <w:ind w:right="60"/>
            </w:pPr>
            <w:r>
              <w:t>5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22"/>
              <w:keepNext/>
              <w:keepLines/>
              <w:spacing w:before="0" w:after="296"/>
              <w:ind w:right="60"/>
            </w:pPr>
            <w:r>
              <w:rPr>
                <w:rStyle w:val="211pt"/>
                <w:color w:val="000000"/>
              </w:rPr>
              <w:t>Постановление администрации Арсеньевского городского общества от 25.11.2019 № 856-па</w:t>
            </w:r>
            <w:r>
              <w:rPr>
                <w:rStyle w:val="212pt1"/>
                <w:color w:val="000000"/>
              </w:rPr>
              <w:t xml:space="preserve"> </w:t>
            </w:r>
            <w:r>
              <w:t xml:space="preserve"> </w:t>
            </w:r>
            <w:bookmarkStart w:id="2" w:name="__DdeLink__1323_1604759797"/>
            <w:r>
              <w:rPr>
                <w:rStyle w:val="3"/>
                <w:color w:val="000000"/>
              </w:rPr>
              <w:t>«</w:t>
            </w:r>
            <w:r>
              <w:rPr>
                <w:rStyle w:val="1"/>
                <w:b w:val="0"/>
                <w:bCs w:val="0"/>
                <w:color w:val="000000"/>
              </w:rPr>
              <w:t xml:space="preserve">Об утверждении Положения о концессионных соглашениях в отношении </w:t>
            </w:r>
            <w:r>
              <w:rPr>
                <w:rStyle w:val="1"/>
                <w:b w:val="0"/>
                <w:bCs w:val="0"/>
                <w:color w:val="000000"/>
              </w:rPr>
              <w:t>муниципального имущества Арсеньевского городского общества»</w:t>
            </w:r>
            <w:bookmarkEnd w:id="2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</w:tbl>
    <w:p w:rsidR="00980822" w:rsidRDefault="00980822">
      <w:pPr>
        <w:sectPr w:rsidR="00980822">
          <w:pgSz w:w="16838" w:h="11906" w:orient="landscape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:rsidR="00980822" w:rsidRDefault="001F7F22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Приложение №</w:t>
      </w:r>
      <w:r>
        <w:rPr>
          <w:sz w:val="28"/>
          <w:szCs w:val="28"/>
        </w:rPr>
        <w:t xml:space="preserve"> 4</w:t>
      </w:r>
    </w:p>
    <w:p w:rsidR="00980822" w:rsidRDefault="001F7F22">
      <w:pPr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Pr="001F7F22" w:rsidRDefault="001F7F22">
      <w:pPr>
        <w:pStyle w:val="ConsPlusNormal"/>
        <w:shd w:val="clear" w:color="auto" w:fill="FFFFFF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F7F22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22"/>
        <w:spacing w:before="0" w:after="296"/>
        <w:ind w:right="60"/>
        <w:jc w:val="both"/>
      </w:pPr>
    </w:p>
    <w:p w:rsidR="00980822" w:rsidRDefault="001F7F22">
      <w:pPr>
        <w:pStyle w:val="22"/>
        <w:spacing w:before="0" w:after="296"/>
        <w:ind w:righ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  <w:r>
        <w:rPr>
          <w:b/>
          <w:bCs/>
          <w:sz w:val="28"/>
          <w:szCs w:val="28"/>
        </w:rPr>
        <w:t xml:space="preserve"> администрации Арсеньевского городского округа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9431"/>
        <w:gridCol w:w="4619"/>
      </w:tblGrid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980822" w:rsidRDefault="001F7F22">
            <w:pPr>
              <w:pStyle w:val="23"/>
              <w:spacing w:before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Ключевые показатели  эффективности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Показатель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ConsPlusNormal"/>
              <w:jc w:val="both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10"/>
              <w:keepNext/>
              <w:keepLines/>
              <w:spacing w:before="0" w:after="0" w:line="322" w:lineRule="exact"/>
              <w:jc w:val="both"/>
            </w:pP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 xml:space="preserve">Доля нормативных правовых актов, </w:t>
            </w: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980822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980822" w:rsidRDefault="00980822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Title"/>
              <w:jc w:val="both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Коэффициент  снижения количества нарушений антимонопольного за</w:t>
            </w:r>
            <w:bookmarkStart w:id="3" w:name="_GoBack"/>
            <w:bookmarkEnd w:id="3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конодательства со стороны администрации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округа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50 %</w:t>
            </w:r>
          </w:p>
        </w:tc>
      </w:tr>
    </w:tbl>
    <w:p w:rsidR="00980822" w:rsidRDefault="00980822">
      <w:pPr>
        <w:shd w:val="clear" w:color="auto" w:fill="FFFFFF"/>
        <w:spacing w:after="296"/>
        <w:ind w:right="60"/>
        <w:jc w:val="center"/>
      </w:pP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980822">
      <w:pPr>
        <w:tabs>
          <w:tab w:val="left" w:pos="1245"/>
        </w:tabs>
        <w:spacing w:line="360" w:lineRule="auto"/>
        <w:ind w:firstLine="0"/>
      </w:pPr>
    </w:p>
    <w:sectPr w:rsidR="00980822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22"/>
    <w:rsid w:val="001F7F22"/>
    <w:rsid w:val="0049633C"/>
    <w:rsid w:val="00855B88"/>
    <w:rsid w:val="00980822"/>
    <w:rsid w:val="00A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D617"/>
  <w15:docId w15:val="{7F2FA344-CC3D-42C6-9666-24924D13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c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31CB-3E2E-47BB-BE87-0706D578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7</cp:revision>
  <cp:lastPrinted>2020-05-25T10:43:00Z</cp:lastPrinted>
  <dcterms:created xsi:type="dcterms:W3CDTF">2020-05-25T07:32:00Z</dcterms:created>
  <dcterms:modified xsi:type="dcterms:W3CDTF">2020-05-26T00:48:00Z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