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B12ABE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2021 г.</w:t>
            </w:r>
            <w:bookmarkStart w:id="0" w:name="_GoBack"/>
            <w:bookmarkEnd w:id="0"/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B12AB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90-па</w:t>
            </w:r>
          </w:p>
        </w:tc>
      </w:tr>
    </w:tbl>
    <w:p w:rsidR="00080C9D" w:rsidRDefault="00080C9D" w:rsidP="00046A44">
      <w:pPr>
        <w:ind w:firstLine="0"/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D85051" w:rsidRDefault="00810D74" w:rsidP="00D85051">
      <w:pPr>
        <w:shd w:val="clear" w:color="auto" w:fill="FFFFFF"/>
        <w:jc w:val="center"/>
        <w:rPr>
          <w:b/>
          <w:bCs/>
          <w:spacing w:val="-1"/>
          <w:sz w:val="25"/>
          <w:szCs w:val="25"/>
        </w:rPr>
      </w:pPr>
      <w:bookmarkStart w:id="1" w:name="__DdeLink__1116_3926479493"/>
      <w:r w:rsidRPr="004106A1">
        <w:rPr>
          <w:b/>
          <w:bCs/>
          <w:spacing w:val="-1"/>
          <w:sz w:val="25"/>
          <w:szCs w:val="25"/>
        </w:rPr>
        <w:t>О внесении изменений в постановление администраци</w:t>
      </w:r>
      <w:r w:rsidR="00D85051">
        <w:rPr>
          <w:b/>
          <w:bCs/>
          <w:spacing w:val="-1"/>
          <w:sz w:val="25"/>
          <w:szCs w:val="25"/>
        </w:rPr>
        <w:t>и</w:t>
      </w:r>
    </w:p>
    <w:p w:rsidR="00D85051" w:rsidRDefault="00810D74" w:rsidP="00D85051">
      <w:pPr>
        <w:shd w:val="clear" w:color="auto" w:fill="FFFFFF"/>
        <w:jc w:val="center"/>
        <w:rPr>
          <w:b/>
          <w:bCs/>
          <w:spacing w:val="-1"/>
          <w:sz w:val="25"/>
          <w:szCs w:val="25"/>
        </w:rPr>
      </w:pPr>
      <w:r w:rsidRPr="004106A1">
        <w:rPr>
          <w:b/>
          <w:bCs/>
          <w:spacing w:val="-1"/>
          <w:sz w:val="25"/>
          <w:szCs w:val="25"/>
        </w:rPr>
        <w:t>Арсеньевского городского округа от 01 ноября 2019 года № 78</w:t>
      </w:r>
      <w:r w:rsidR="008D2576">
        <w:rPr>
          <w:b/>
          <w:bCs/>
          <w:spacing w:val="-1"/>
          <w:sz w:val="25"/>
          <w:szCs w:val="25"/>
        </w:rPr>
        <w:t>7</w:t>
      </w:r>
      <w:r w:rsidRPr="004106A1">
        <w:rPr>
          <w:b/>
          <w:bCs/>
          <w:spacing w:val="-1"/>
          <w:sz w:val="25"/>
          <w:szCs w:val="25"/>
        </w:rPr>
        <w:t>-па</w:t>
      </w:r>
    </w:p>
    <w:p w:rsidR="00080C9D" w:rsidRPr="004106A1" w:rsidRDefault="00810D74" w:rsidP="00D85051">
      <w:pPr>
        <w:shd w:val="clear" w:color="auto" w:fill="FFFFFF"/>
        <w:jc w:val="center"/>
        <w:rPr>
          <w:sz w:val="25"/>
          <w:szCs w:val="25"/>
        </w:rPr>
      </w:pPr>
      <w:r w:rsidRPr="004106A1">
        <w:rPr>
          <w:b/>
          <w:bCs/>
          <w:spacing w:val="-1"/>
          <w:sz w:val="25"/>
          <w:szCs w:val="25"/>
        </w:rPr>
        <w:t xml:space="preserve">«Об утверждении административного регламента предоставления муниципальной услуги «Выдача разрешения на </w:t>
      </w:r>
      <w:r w:rsidR="008D2576">
        <w:rPr>
          <w:b/>
          <w:bCs/>
          <w:spacing w:val="-1"/>
          <w:sz w:val="25"/>
          <w:szCs w:val="25"/>
        </w:rPr>
        <w:t>ввод объекта в эксплуатацию</w:t>
      </w:r>
      <w:r w:rsidRPr="004106A1">
        <w:rPr>
          <w:b/>
          <w:bCs/>
          <w:spacing w:val="-1"/>
          <w:sz w:val="25"/>
          <w:szCs w:val="25"/>
        </w:rPr>
        <w:t>»</w:t>
      </w:r>
      <w:bookmarkEnd w:id="1"/>
    </w:p>
    <w:p w:rsid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4106A1" w:rsidRP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080C9D" w:rsidRPr="004106A1" w:rsidRDefault="00810D74">
      <w:pPr>
        <w:tabs>
          <w:tab w:val="left" w:pos="709"/>
        </w:tabs>
        <w:spacing w:line="360" w:lineRule="auto"/>
        <w:rPr>
          <w:sz w:val="25"/>
          <w:szCs w:val="25"/>
        </w:rPr>
      </w:pPr>
      <w:r w:rsidRPr="004106A1">
        <w:rPr>
          <w:sz w:val="25"/>
          <w:szCs w:val="25"/>
        </w:rPr>
        <w:t xml:space="preserve">В соответствии с Градостроительным кодексом Российской Федерации, Федеральным </w:t>
      </w:r>
      <w:r w:rsidRPr="004106A1">
        <w:rPr>
          <w:color w:val="000000"/>
          <w:sz w:val="25"/>
          <w:szCs w:val="25"/>
        </w:rPr>
        <w:t xml:space="preserve">законом </w:t>
      </w:r>
      <w:r w:rsidRPr="004106A1">
        <w:rPr>
          <w:sz w:val="25"/>
          <w:szCs w:val="25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810D74">
      <w:pPr>
        <w:ind w:firstLine="0"/>
        <w:rPr>
          <w:sz w:val="25"/>
          <w:szCs w:val="25"/>
        </w:rPr>
      </w:pPr>
      <w:r w:rsidRPr="004106A1">
        <w:rPr>
          <w:sz w:val="25"/>
          <w:szCs w:val="25"/>
        </w:rPr>
        <w:t xml:space="preserve">ПОСТАНОВЛЯЕТ: </w:t>
      </w: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810D74" w:rsidP="00402651">
      <w:pPr>
        <w:spacing w:line="360" w:lineRule="auto"/>
        <w:contextualSpacing/>
        <w:rPr>
          <w:sz w:val="25"/>
          <w:szCs w:val="25"/>
        </w:rPr>
      </w:pPr>
      <w:r w:rsidRPr="004106A1">
        <w:rPr>
          <w:rFonts w:eastAsia="Calibri"/>
          <w:bCs/>
          <w:sz w:val="25"/>
          <w:szCs w:val="25"/>
        </w:rPr>
        <w:t xml:space="preserve">1. Внести в административный регламент предоставления муниципальной услуги «Выдача разрешения на </w:t>
      </w:r>
      <w:r w:rsidR="0096289D">
        <w:rPr>
          <w:rFonts w:eastAsia="Calibri"/>
          <w:bCs/>
          <w:sz w:val="25"/>
          <w:szCs w:val="25"/>
        </w:rPr>
        <w:t>ввод объекта в эксплуатацию</w:t>
      </w:r>
      <w:r w:rsidRPr="004106A1">
        <w:rPr>
          <w:rFonts w:eastAsia="Calibri"/>
          <w:bCs/>
          <w:sz w:val="25"/>
          <w:szCs w:val="25"/>
        </w:rPr>
        <w:t>», утвержденный постановлением администрации Арсеньевского городского округа от 01 ноября 2019 года № 78</w:t>
      </w:r>
      <w:r w:rsidR="0096289D">
        <w:rPr>
          <w:rFonts w:eastAsia="Calibri"/>
          <w:bCs/>
          <w:sz w:val="25"/>
          <w:szCs w:val="25"/>
        </w:rPr>
        <w:t>7</w:t>
      </w:r>
      <w:r w:rsidRPr="004106A1">
        <w:rPr>
          <w:rFonts w:eastAsia="Calibri"/>
          <w:bCs/>
          <w:sz w:val="25"/>
          <w:szCs w:val="25"/>
        </w:rPr>
        <w:t>-па (в редакции постановлений администрации Арсеньевского городского округа от 27 декабря 2019 года № 97</w:t>
      </w:r>
      <w:r w:rsidR="0096289D">
        <w:rPr>
          <w:rFonts w:eastAsia="Calibri"/>
          <w:bCs/>
          <w:sz w:val="25"/>
          <w:szCs w:val="25"/>
        </w:rPr>
        <w:t>1</w:t>
      </w:r>
      <w:r w:rsidRPr="004106A1">
        <w:rPr>
          <w:rFonts w:eastAsia="Calibri"/>
          <w:bCs/>
          <w:sz w:val="25"/>
          <w:szCs w:val="25"/>
        </w:rPr>
        <w:t>-па, от 03 февраля 2020 года № 6</w:t>
      </w:r>
      <w:r w:rsidR="0096289D">
        <w:rPr>
          <w:rFonts w:eastAsia="Calibri"/>
          <w:bCs/>
          <w:sz w:val="25"/>
          <w:szCs w:val="25"/>
        </w:rPr>
        <w:t>6</w:t>
      </w:r>
      <w:r w:rsidRPr="004106A1">
        <w:rPr>
          <w:rFonts w:eastAsia="Calibri"/>
          <w:bCs/>
          <w:sz w:val="25"/>
          <w:szCs w:val="25"/>
        </w:rPr>
        <w:t>-па</w:t>
      </w:r>
      <w:r w:rsidR="00700C6D" w:rsidRPr="004106A1">
        <w:rPr>
          <w:rFonts w:eastAsia="Calibri"/>
          <w:bCs/>
          <w:sz w:val="25"/>
          <w:szCs w:val="25"/>
        </w:rPr>
        <w:t>, от 28 апреля 2020 года № 23</w:t>
      </w:r>
      <w:r w:rsidR="0096289D">
        <w:rPr>
          <w:rFonts w:eastAsia="Calibri"/>
          <w:bCs/>
          <w:sz w:val="25"/>
          <w:szCs w:val="25"/>
        </w:rPr>
        <w:t>4</w:t>
      </w:r>
      <w:r w:rsidR="00700C6D" w:rsidRPr="004106A1">
        <w:rPr>
          <w:rFonts w:eastAsia="Calibri"/>
          <w:bCs/>
          <w:sz w:val="25"/>
          <w:szCs w:val="25"/>
        </w:rPr>
        <w:t>-па)</w:t>
      </w:r>
      <w:r w:rsidRPr="004106A1">
        <w:rPr>
          <w:rFonts w:eastAsia="Calibri"/>
          <w:bCs/>
          <w:sz w:val="25"/>
          <w:szCs w:val="25"/>
        </w:rPr>
        <w:t>, следующие изменения:</w:t>
      </w:r>
    </w:p>
    <w:p w:rsidR="00080C9D" w:rsidRPr="00602585" w:rsidRDefault="00911013" w:rsidP="00602585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rFonts w:eastAsia="Calibri"/>
          <w:bCs/>
          <w:szCs w:val="26"/>
        </w:rPr>
        <w:lastRenderedPageBreak/>
        <w:t xml:space="preserve">         </w:t>
      </w:r>
      <w:r w:rsidR="00810D74" w:rsidRPr="00602585">
        <w:rPr>
          <w:rFonts w:eastAsia="Calibri"/>
          <w:bCs/>
          <w:szCs w:val="26"/>
        </w:rPr>
        <w:t xml:space="preserve">1.1. Дополнить </w:t>
      </w:r>
      <w:bookmarkStart w:id="2" w:name="__DdeLink__1381_2676803764"/>
      <w:r w:rsidR="00436F7A" w:rsidRPr="00602585">
        <w:rPr>
          <w:color w:val="000000" w:themeColor="text1"/>
          <w:szCs w:val="26"/>
        </w:rPr>
        <w:t>подпункт</w:t>
      </w:r>
      <w:r w:rsidR="0085277D" w:rsidRPr="00602585">
        <w:rPr>
          <w:color w:val="000000" w:themeColor="text1"/>
          <w:szCs w:val="26"/>
        </w:rPr>
        <w:t xml:space="preserve"> </w:t>
      </w:r>
      <w:r w:rsidR="002D7895">
        <w:rPr>
          <w:color w:val="000000" w:themeColor="text1"/>
          <w:szCs w:val="26"/>
        </w:rPr>
        <w:t>«</w:t>
      </w:r>
      <w:r w:rsidR="00602585" w:rsidRPr="00602585">
        <w:rPr>
          <w:color w:val="000000" w:themeColor="text1"/>
          <w:szCs w:val="26"/>
        </w:rPr>
        <w:t>д</w:t>
      </w:r>
      <w:r w:rsidR="0085277D" w:rsidRPr="00602585">
        <w:rPr>
          <w:color w:val="000000" w:themeColor="text1"/>
          <w:szCs w:val="26"/>
        </w:rPr>
        <w:t>)</w:t>
      </w:r>
      <w:r w:rsidR="002D7895">
        <w:rPr>
          <w:color w:val="000000" w:themeColor="text1"/>
          <w:szCs w:val="26"/>
        </w:rPr>
        <w:t>»</w:t>
      </w:r>
      <w:r w:rsidR="0085277D" w:rsidRPr="00602585">
        <w:rPr>
          <w:color w:val="000000" w:themeColor="text1"/>
          <w:szCs w:val="26"/>
        </w:rPr>
        <w:t xml:space="preserve"> подпункта 9.</w:t>
      </w:r>
      <w:r w:rsidR="00602585" w:rsidRPr="00602585">
        <w:rPr>
          <w:color w:val="000000" w:themeColor="text1"/>
          <w:szCs w:val="26"/>
        </w:rPr>
        <w:t>3</w:t>
      </w:r>
      <w:r w:rsidR="0085277D" w:rsidRPr="00602585">
        <w:rPr>
          <w:color w:val="000000" w:themeColor="text1"/>
          <w:szCs w:val="26"/>
        </w:rPr>
        <w:t xml:space="preserve"> пункта 9 </w:t>
      </w:r>
      <w:r w:rsidR="00810D74" w:rsidRPr="00602585">
        <w:rPr>
          <w:rFonts w:eastAsia="Calibri"/>
          <w:bCs/>
          <w:szCs w:val="26"/>
        </w:rPr>
        <w:t>после слов «</w:t>
      </w:r>
      <w:r w:rsidR="00602585" w:rsidRPr="00602585">
        <w:rPr>
          <w:rFonts w:eastAsia="Calibri"/>
          <w:bCs/>
          <w:szCs w:val="26"/>
        </w:rPr>
        <w:t>проектной документации</w:t>
      </w:r>
      <w:r w:rsidR="00544CE6">
        <w:rPr>
          <w:rFonts w:eastAsia="Calibri"/>
          <w:bCs/>
          <w:szCs w:val="26"/>
        </w:rPr>
        <w:t>» словами «</w:t>
      </w:r>
      <w:r w:rsidR="00602585" w:rsidRPr="00602585">
        <w:rPr>
          <w:szCs w:val="26"/>
        </w:rPr>
        <w:t xml:space="preserve">(в части соответствия проектной документации требованиям, указанным в </w:t>
      </w:r>
      <w:hyperlink r:id="rId9" w:history="1">
        <w:r w:rsidR="00602585" w:rsidRPr="00602585">
          <w:rPr>
            <w:szCs w:val="26"/>
          </w:rPr>
          <w:t>пункте 1 части 5 статьи 49</w:t>
        </w:r>
      </w:hyperlink>
      <w:r w:rsidR="00602585" w:rsidRPr="00602585">
        <w:rPr>
          <w:szCs w:val="26"/>
        </w:rPr>
        <w:t xml:space="preserve"> </w:t>
      </w:r>
      <w:r w:rsidR="00602585">
        <w:rPr>
          <w:szCs w:val="26"/>
        </w:rPr>
        <w:t>Градостроительного к</w:t>
      </w:r>
      <w:r w:rsidR="00602585" w:rsidRPr="00602585">
        <w:rPr>
          <w:szCs w:val="26"/>
        </w:rPr>
        <w:t>одекса</w:t>
      </w:r>
      <w:r w:rsidR="00602585">
        <w:rPr>
          <w:szCs w:val="26"/>
        </w:rPr>
        <w:t xml:space="preserve"> Российской федерации</w:t>
      </w:r>
      <w:r w:rsidR="00602585" w:rsidRPr="00602585">
        <w:rPr>
          <w:szCs w:val="26"/>
        </w:rPr>
        <w:t>)</w:t>
      </w:r>
      <w:r w:rsidR="00AC45D2" w:rsidRPr="00602585">
        <w:rPr>
          <w:szCs w:val="26"/>
        </w:rPr>
        <w:t>»</w:t>
      </w:r>
      <w:bookmarkEnd w:id="2"/>
      <w:r w:rsidR="00AC45D2" w:rsidRPr="00602585">
        <w:rPr>
          <w:szCs w:val="26"/>
        </w:rPr>
        <w:t>.</w:t>
      </w:r>
    </w:p>
    <w:p w:rsidR="0085277D" w:rsidRDefault="00911013" w:rsidP="00334C5F">
      <w:pPr>
        <w:widowControl/>
        <w:autoSpaceDE w:val="0"/>
        <w:autoSpaceDN w:val="0"/>
        <w:adjustRightInd w:val="0"/>
        <w:spacing w:line="360" w:lineRule="auto"/>
        <w:ind w:firstLine="0"/>
        <w:rPr>
          <w:sz w:val="25"/>
          <w:szCs w:val="25"/>
        </w:rPr>
      </w:pPr>
      <w:r>
        <w:rPr>
          <w:color w:val="000000" w:themeColor="text1"/>
          <w:szCs w:val="26"/>
        </w:rPr>
        <w:t xml:space="preserve">       </w:t>
      </w:r>
      <w:r w:rsidR="00810D74" w:rsidRPr="00602585">
        <w:rPr>
          <w:color w:val="000000" w:themeColor="text1"/>
          <w:szCs w:val="26"/>
        </w:rPr>
        <w:t>1.</w:t>
      </w:r>
      <w:r w:rsidR="00092EE2" w:rsidRPr="00602585">
        <w:rPr>
          <w:color w:val="000000" w:themeColor="text1"/>
          <w:szCs w:val="26"/>
        </w:rPr>
        <w:t>2</w:t>
      </w:r>
      <w:r w:rsidR="00810D74" w:rsidRPr="00602585">
        <w:rPr>
          <w:color w:val="000000" w:themeColor="text1"/>
          <w:szCs w:val="26"/>
        </w:rPr>
        <w:t xml:space="preserve">. </w:t>
      </w:r>
      <w:r w:rsidR="0085277D" w:rsidRPr="00602585">
        <w:rPr>
          <w:rFonts w:eastAsia="Calibri"/>
          <w:bCs/>
          <w:szCs w:val="26"/>
        </w:rPr>
        <w:t xml:space="preserve">Дополнить </w:t>
      </w:r>
      <w:r w:rsidR="00436F7A" w:rsidRPr="00602585">
        <w:rPr>
          <w:color w:val="000000" w:themeColor="text1"/>
          <w:szCs w:val="26"/>
        </w:rPr>
        <w:t xml:space="preserve">подпункт </w:t>
      </w:r>
      <w:r w:rsidR="002D7895">
        <w:rPr>
          <w:color w:val="000000" w:themeColor="text1"/>
          <w:szCs w:val="26"/>
        </w:rPr>
        <w:t>«</w:t>
      </w:r>
      <w:r w:rsidR="00602585" w:rsidRPr="00602585">
        <w:rPr>
          <w:color w:val="000000" w:themeColor="text1"/>
          <w:szCs w:val="26"/>
        </w:rPr>
        <w:t>ж</w:t>
      </w:r>
      <w:r w:rsidR="0085277D" w:rsidRPr="00602585">
        <w:rPr>
          <w:color w:val="000000" w:themeColor="text1"/>
          <w:szCs w:val="26"/>
        </w:rPr>
        <w:t>)</w:t>
      </w:r>
      <w:r w:rsidR="002D7895">
        <w:rPr>
          <w:color w:val="000000" w:themeColor="text1"/>
          <w:szCs w:val="26"/>
        </w:rPr>
        <w:t>»</w:t>
      </w:r>
      <w:r w:rsidR="0085277D" w:rsidRPr="00602585">
        <w:rPr>
          <w:color w:val="000000" w:themeColor="text1"/>
          <w:szCs w:val="26"/>
        </w:rPr>
        <w:t xml:space="preserve"> подпункта 9.</w:t>
      </w:r>
      <w:r w:rsidR="00602585" w:rsidRPr="00602585">
        <w:rPr>
          <w:color w:val="000000" w:themeColor="text1"/>
          <w:szCs w:val="26"/>
        </w:rPr>
        <w:t>3</w:t>
      </w:r>
      <w:r w:rsidR="0085277D" w:rsidRPr="00602585">
        <w:rPr>
          <w:color w:val="000000" w:themeColor="text1"/>
          <w:szCs w:val="26"/>
        </w:rPr>
        <w:t xml:space="preserve"> пункта 9 </w:t>
      </w:r>
      <w:r w:rsidR="0085277D" w:rsidRPr="00602585">
        <w:rPr>
          <w:rFonts w:eastAsia="Calibri"/>
          <w:bCs/>
          <w:szCs w:val="26"/>
        </w:rPr>
        <w:t>после слов «</w:t>
      </w:r>
      <w:r w:rsidR="00602585" w:rsidRPr="00602585">
        <w:rPr>
          <w:rFonts w:eastAsia="Calibri"/>
          <w:bCs/>
          <w:szCs w:val="26"/>
        </w:rPr>
        <w:t>реконструированного объекта капитального строительства</w:t>
      </w:r>
      <w:r w:rsidR="0085277D" w:rsidRPr="00602585">
        <w:rPr>
          <w:rFonts w:eastAsia="Calibri"/>
          <w:bCs/>
          <w:szCs w:val="26"/>
        </w:rPr>
        <w:t>» словами «</w:t>
      </w:r>
      <w:r w:rsidR="00602585" w:rsidRPr="00602585">
        <w:rPr>
          <w:szCs w:val="26"/>
        </w:rPr>
        <w:t xml:space="preserve">указанным в </w:t>
      </w:r>
      <w:hyperlink r:id="rId10" w:history="1">
        <w:r w:rsidR="00602585" w:rsidRPr="00602585">
          <w:rPr>
            <w:szCs w:val="26"/>
          </w:rPr>
          <w:t>пункте 1 части 5 статьи 49</w:t>
        </w:r>
      </w:hyperlink>
      <w:r w:rsidR="00602585" w:rsidRPr="00602585">
        <w:rPr>
          <w:szCs w:val="26"/>
        </w:rPr>
        <w:t xml:space="preserve"> </w:t>
      </w:r>
      <w:r w:rsidR="00334C5F">
        <w:rPr>
          <w:szCs w:val="26"/>
        </w:rPr>
        <w:t>Градостроительного к</w:t>
      </w:r>
      <w:r w:rsidR="00602585" w:rsidRPr="00602585">
        <w:rPr>
          <w:szCs w:val="26"/>
        </w:rPr>
        <w:t>одекса</w:t>
      </w:r>
      <w:r w:rsidR="00334C5F">
        <w:rPr>
          <w:szCs w:val="26"/>
        </w:rPr>
        <w:t xml:space="preserve"> Российской Федерации</w:t>
      </w:r>
      <w:r w:rsidR="0085277D" w:rsidRPr="004106A1">
        <w:rPr>
          <w:sz w:val="25"/>
          <w:szCs w:val="25"/>
        </w:rPr>
        <w:t>».</w:t>
      </w:r>
    </w:p>
    <w:p w:rsidR="00DE209E" w:rsidRPr="004106A1" w:rsidRDefault="00911013" w:rsidP="00334C5F">
      <w:pPr>
        <w:widowControl/>
        <w:autoSpaceDE w:val="0"/>
        <w:autoSpaceDN w:val="0"/>
        <w:adjustRightInd w:val="0"/>
        <w:spacing w:line="360" w:lineRule="auto"/>
        <w:ind w:firstLine="0"/>
        <w:rPr>
          <w:sz w:val="25"/>
          <w:szCs w:val="25"/>
        </w:rPr>
      </w:pPr>
      <w:r>
        <w:rPr>
          <w:rFonts w:eastAsia="Calibri"/>
          <w:bCs/>
          <w:szCs w:val="26"/>
        </w:rPr>
        <w:t xml:space="preserve">         </w:t>
      </w:r>
      <w:r w:rsidR="00DE209E" w:rsidRPr="00602585">
        <w:rPr>
          <w:rFonts w:eastAsia="Calibri"/>
          <w:bCs/>
          <w:szCs w:val="26"/>
        </w:rPr>
        <w:t>1.</w:t>
      </w:r>
      <w:r w:rsidR="00DE209E">
        <w:rPr>
          <w:rFonts w:eastAsia="Calibri"/>
          <w:bCs/>
          <w:szCs w:val="26"/>
        </w:rPr>
        <w:t>3</w:t>
      </w:r>
      <w:r w:rsidR="00DE209E" w:rsidRPr="00602585">
        <w:rPr>
          <w:rFonts w:eastAsia="Calibri"/>
          <w:bCs/>
          <w:szCs w:val="26"/>
        </w:rPr>
        <w:t xml:space="preserve">. Дополнить </w:t>
      </w:r>
      <w:r w:rsidR="00DE209E" w:rsidRPr="00602585">
        <w:rPr>
          <w:color w:val="000000" w:themeColor="text1"/>
          <w:szCs w:val="26"/>
        </w:rPr>
        <w:t xml:space="preserve">подпункт </w:t>
      </w:r>
      <w:r w:rsidR="002D7895">
        <w:rPr>
          <w:color w:val="000000" w:themeColor="text1"/>
          <w:szCs w:val="26"/>
        </w:rPr>
        <w:t>«</w:t>
      </w:r>
      <w:r w:rsidR="00DE209E">
        <w:rPr>
          <w:color w:val="000000" w:themeColor="text1"/>
          <w:szCs w:val="26"/>
        </w:rPr>
        <w:t>з</w:t>
      </w:r>
      <w:r w:rsidR="00DE209E" w:rsidRPr="00602585">
        <w:rPr>
          <w:color w:val="000000" w:themeColor="text1"/>
          <w:szCs w:val="26"/>
        </w:rPr>
        <w:t>)</w:t>
      </w:r>
      <w:r w:rsidR="002D7895">
        <w:rPr>
          <w:color w:val="000000" w:themeColor="text1"/>
          <w:szCs w:val="26"/>
        </w:rPr>
        <w:t>»</w:t>
      </w:r>
      <w:r w:rsidR="00DE209E" w:rsidRPr="00602585">
        <w:rPr>
          <w:color w:val="000000" w:themeColor="text1"/>
          <w:szCs w:val="26"/>
        </w:rPr>
        <w:t xml:space="preserve"> подпункта 9.3 пункта 9 </w:t>
      </w:r>
      <w:r w:rsidR="00DE209E" w:rsidRPr="00602585">
        <w:rPr>
          <w:rFonts w:eastAsia="Calibri"/>
          <w:bCs/>
          <w:szCs w:val="26"/>
        </w:rPr>
        <w:t>после слов «</w:t>
      </w:r>
      <w:r>
        <w:rPr>
          <w:rFonts w:eastAsia="Calibri"/>
          <w:bCs/>
          <w:szCs w:val="26"/>
        </w:rPr>
        <w:t>(</w:t>
      </w:r>
      <w:r w:rsidR="00DE209E" w:rsidRPr="00602585">
        <w:rPr>
          <w:rFonts w:eastAsia="Calibri"/>
          <w:bCs/>
          <w:szCs w:val="26"/>
        </w:rPr>
        <w:t>при</w:t>
      </w:r>
      <w:r w:rsidR="00DE209E">
        <w:rPr>
          <w:rFonts w:eastAsia="Calibri"/>
          <w:bCs/>
          <w:szCs w:val="26"/>
        </w:rPr>
        <w:t xml:space="preserve"> их наличии</w:t>
      </w:r>
      <w:r>
        <w:rPr>
          <w:rFonts w:eastAsia="Calibri"/>
          <w:bCs/>
          <w:szCs w:val="26"/>
        </w:rPr>
        <w:t>)</w:t>
      </w:r>
      <w:r w:rsidR="00785390">
        <w:rPr>
          <w:rFonts w:eastAsia="Calibri"/>
          <w:bCs/>
          <w:szCs w:val="26"/>
        </w:rPr>
        <w:t>;</w:t>
      </w:r>
      <w:r w:rsidR="00DE209E">
        <w:rPr>
          <w:rFonts w:eastAsia="Calibri"/>
          <w:bCs/>
          <w:szCs w:val="26"/>
        </w:rPr>
        <w:t>» словами «</w:t>
      </w:r>
      <w:r w:rsidR="00DE209E">
        <w:rPr>
          <w:szCs w:val="26"/>
        </w:rPr>
        <w:t>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энергии.</w:t>
      </w:r>
      <w:r w:rsidR="00DE209E" w:rsidRPr="00602585">
        <w:rPr>
          <w:szCs w:val="26"/>
        </w:rPr>
        <w:t>»</w:t>
      </w:r>
    </w:p>
    <w:p w:rsidR="00080C9D" w:rsidRPr="004106A1" w:rsidRDefault="00810D74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4106A1">
        <w:rPr>
          <w:rFonts w:eastAsia="Calibri"/>
          <w:bCs/>
          <w:sz w:val="25"/>
          <w:szCs w:val="25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80C9D" w:rsidRDefault="00810D74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4106A1">
        <w:rPr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:rsidR="004106A1" w:rsidRDefault="004106A1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4106A1" w:rsidRPr="004106A1" w:rsidRDefault="004106A1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080C9D" w:rsidRPr="004106A1" w:rsidRDefault="00700C6D">
      <w:pPr>
        <w:tabs>
          <w:tab w:val="left" w:pos="709"/>
        </w:tabs>
        <w:ind w:firstLine="0"/>
        <w:rPr>
          <w:sz w:val="25"/>
          <w:szCs w:val="25"/>
        </w:rPr>
      </w:pPr>
      <w:r w:rsidRPr="004106A1">
        <w:rPr>
          <w:sz w:val="25"/>
          <w:szCs w:val="25"/>
        </w:rPr>
        <w:t>Глава</w:t>
      </w:r>
      <w:r w:rsidR="00810D74" w:rsidRPr="004106A1">
        <w:rPr>
          <w:sz w:val="25"/>
          <w:szCs w:val="25"/>
        </w:rPr>
        <w:t xml:space="preserve"> городского округа </w:t>
      </w:r>
      <w:r w:rsidR="00810D74" w:rsidRPr="004106A1">
        <w:rPr>
          <w:sz w:val="25"/>
          <w:szCs w:val="25"/>
        </w:rPr>
        <w:tab/>
        <w:t xml:space="preserve">                                </w:t>
      </w:r>
      <w:r w:rsidRPr="004106A1">
        <w:rPr>
          <w:sz w:val="25"/>
          <w:szCs w:val="25"/>
        </w:rPr>
        <w:t xml:space="preserve">        </w:t>
      </w:r>
      <w:r w:rsidR="00810D74" w:rsidRPr="004106A1">
        <w:rPr>
          <w:sz w:val="25"/>
          <w:szCs w:val="25"/>
        </w:rPr>
        <w:t xml:space="preserve">             </w:t>
      </w:r>
      <w:r w:rsidR="00D85051">
        <w:rPr>
          <w:sz w:val="25"/>
          <w:szCs w:val="25"/>
        </w:rPr>
        <w:t xml:space="preserve">        </w:t>
      </w:r>
      <w:r w:rsidR="00810D74" w:rsidRPr="004106A1">
        <w:rPr>
          <w:sz w:val="25"/>
          <w:szCs w:val="25"/>
        </w:rPr>
        <w:t xml:space="preserve">                           </w:t>
      </w:r>
      <w:proofErr w:type="spellStart"/>
      <w:r w:rsidR="00810D74" w:rsidRPr="004106A1">
        <w:rPr>
          <w:sz w:val="25"/>
          <w:szCs w:val="25"/>
        </w:rPr>
        <w:t>В.С.Пивень</w:t>
      </w:r>
      <w:proofErr w:type="spellEnd"/>
    </w:p>
    <w:p w:rsidR="00080C9D" w:rsidRPr="004106A1" w:rsidRDefault="00080C9D">
      <w:pPr>
        <w:tabs>
          <w:tab w:val="left" w:pos="709"/>
        </w:tabs>
        <w:spacing w:line="360" w:lineRule="auto"/>
        <w:rPr>
          <w:sz w:val="25"/>
          <w:szCs w:val="25"/>
        </w:rPr>
      </w:pPr>
    </w:p>
    <w:sectPr w:rsidR="00080C9D" w:rsidRPr="004106A1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B0" w:rsidRDefault="000E6FB0">
      <w:r>
        <w:separator/>
      </w:r>
    </w:p>
  </w:endnote>
  <w:endnote w:type="continuationSeparator" w:id="0">
    <w:p w:rsidR="000E6FB0" w:rsidRDefault="000E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B0" w:rsidRDefault="000E6FB0">
      <w:r>
        <w:separator/>
      </w:r>
    </w:p>
  </w:footnote>
  <w:footnote w:type="continuationSeparator" w:id="0">
    <w:p w:rsidR="000E6FB0" w:rsidRDefault="000E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46A44"/>
    <w:rsid w:val="00080C9D"/>
    <w:rsid w:val="0008624B"/>
    <w:rsid w:val="00092EE2"/>
    <w:rsid w:val="000A4674"/>
    <w:rsid w:val="000E6FB0"/>
    <w:rsid w:val="000F1D3D"/>
    <w:rsid w:val="000F5DB6"/>
    <w:rsid w:val="001B1034"/>
    <w:rsid w:val="001E19EB"/>
    <w:rsid w:val="00235AAF"/>
    <w:rsid w:val="002A2427"/>
    <w:rsid w:val="002C5167"/>
    <w:rsid w:val="002D7895"/>
    <w:rsid w:val="00334C5F"/>
    <w:rsid w:val="00370C89"/>
    <w:rsid w:val="00402651"/>
    <w:rsid w:val="004106A1"/>
    <w:rsid w:val="004118DA"/>
    <w:rsid w:val="00436F7A"/>
    <w:rsid w:val="0045785C"/>
    <w:rsid w:val="00544CE6"/>
    <w:rsid w:val="00583184"/>
    <w:rsid w:val="00590E0E"/>
    <w:rsid w:val="00602585"/>
    <w:rsid w:val="00605803"/>
    <w:rsid w:val="00700C6D"/>
    <w:rsid w:val="00726D56"/>
    <w:rsid w:val="0075600F"/>
    <w:rsid w:val="00785390"/>
    <w:rsid w:val="007A4371"/>
    <w:rsid w:val="007F1BC3"/>
    <w:rsid w:val="00810D74"/>
    <w:rsid w:val="0085277D"/>
    <w:rsid w:val="00860B21"/>
    <w:rsid w:val="008A201D"/>
    <w:rsid w:val="008D2576"/>
    <w:rsid w:val="00911013"/>
    <w:rsid w:val="0096289D"/>
    <w:rsid w:val="00A73F61"/>
    <w:rsid w:val="00AC45D2"/>
    <w:rsid w:val="00B12ABE"/>
    <w:rsid w:val="00B16C37"/>
    <w:rsid w:val="00BA7AF3"/>
    <w:rsid w:val="00C377B9"/>
    <w:rsid w:val="00D15AA4"/>
    <w:rsid w:val="00D15C02"/>
    <w:rsid w:val="00D85051"/>
    <w:rsid w:val="00DA6181"/>
    <w:rsid w:val="00DE1C84"/>
    <w:rsid w:val="00DE209E"/>
    <w:rsid w:val="00F2764E"/>
    <w:rsid w:val="00F43B98"/>
    <w:rsid w:val="00F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3792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DCFA518D0C210015D61582204313676A4382A65D4F196C41CBB2A91791B0C6D4B8FCAEEC250B2A499CFA2662102006A920720C4FF0v73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C381A04D2EE7FC265F3D0B66D89622485C634BA68CC84923083366A3844056DED803C4F8017463598B09AA8CE3F2C5B123B6DEC16y5z0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FEBA-8A97-4F38-A8B8-6A6FDD20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87</cp:revision>
  <cp:lastPrinted>2021-02-24T04:40:00Z</cp:lastPrinted>
  <dcterms:created xsi:type="dcterms:W3CDTF">2018-10-02T23:14:00Z</dcterms:created>
  <dcterms:modified xsi:type="dcterms:W3CDTF">2021-02-25T00:41:00Z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