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EA1712" w:rsidTr="00F34DE1">
        <w:trPr>
          <w:trHeight w:val="1239"/>
          <w:jc w:val="center"/>
        </w:trPr>
        <w:tc>
          <w:tcPr>
            <w:tcW w:w="8793" w:type="dxa"/>
            <w:gridSpan w:val="4"/>
          </w:tcPr>
          <w:p w:rsidR="00EA1712" w:rsidRDefault="003628DA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712" w:rsidTr="00F34DE1">
        <w:trPr>
          <w:trHeight w:val="1001"/>
          <w:jc w:val="center"/>
        </w:trPr>
        <w:tc>
          <w:tcPr>
            <w:tcW w:w="8793" w:type="dxa"/>
            <w:gridSpan w:val="4"/>
          </w:tcPr>
          <w:p w:rsidR="00EA1712" w:rsidRDefault="003628DA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EA1712" w:rsidRDefault="003628DA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EA1712" w:rsidTr="00F34DE1">
        <w:trPr>
          <w:trHeight w:val="363"/>
          <w:jc w:val="center"/>
        </w:trPr>
        <w:tc>
          <w:tcPr>
            <w:tcW w:w="8793" w:type="dxa"/>
            <w:gridSpan w:val="4"/>
          </w:tcPr>
          <w:p w:rsidR="00EA1712" w:rsidRDefault="003628DA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EA1712" w:rsidRDefault="00EA171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DE1" w:rsidRPr="009C452A" w:rsidTr="00AB00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34DE1" w:rsidRPr="009C452A" w:rsidRDefault="00F34DE1" w:rsidP="00AB007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декабря 2023 г.</w:t>
            </w:r>
          </w:p>
        </w:tc>
        <w:tc>
          <w:tcPr>
            <w:tcW w:w="5101" w:type="dxa"/>
          </w:tcPr>
          <w:p w:rsidR="00F34DE1" w:rsidRPr="009C452A" w:rsidRDefault="00F34DE1" w:rsidP="00AB0077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F34DE1" w:rsidRPr="009C452A" w:rsidRDefault="00F34DE1" w:rsidP="00AB0077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34DE1" w:rsidRPr="009C452A" w:rsidRDefault="00F34DE1" w:rsidP="00AB007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325-ра</w:t>
            </w:r>
          </w:p>
        </w:tc>
      </w:tr>
    </w:tbl>
    <w:p w:rsidR="00EA1712" w:rsidRDefault="00EA1712">
      <w:pPr>
        <w:tabs>
          <w:tab w:val="left" w:pos="8041"/>
        </w:tabs>
        <w:ind w:firstLine="0"/>
      </w:pPr>
    </w:p>
    <w:p w:rsidR="00EA1712" w:rsidRDefault="00EA1712">
      <w:pPr>
        <w:tabs>
          <w:tab w:val="left" w:pos="8041"/>
        </w:tabs>
        <w:ind w:firstLine="0"/>
      </w:pPr>
    </w:p>
    <w:p w:rsidR="00EA1712" w:rsidRDefault="003628DA">
      <w:pPr>
        <w:pStyle w:val="31"/>
        <w:shd w:val="clear" w:color="auto" w:fill="auto"/>
        <w:spacing w:before="0" w:after="0" w:line="240" w:lineRule="auto"/>
        <w:ind w:left="709" w:right="851" w:firstLine="0"/>
        <w:jc w:val="center"/>
        <w:rPr>
          <w:rStyle w:val="3"/>
          <w:b/>
          <w:color w:val="000000"/>
          <w:sz w:val="26"/>
          <w:szCs w:val="26"/>
        </w:rPr>
      </w:pPr>
      <w:r>
        <w:rPr>
          <w:rStyle w:val="3"/>
          <w:b/>
          <w:color w:val="000000"/>
          <w:sz w:val="26"/>
          <w:szCs w:val="26"/>
        </w:rPr>
        <w:t xml:space="preserve">Об утверждении карты </w:t>
      </w:r>
      <w:proofErr w:type="spellStart"/>
      <w:r>
        <w:rPr>
          <w:rStyle w:val="3"/>
          <w:b/>
          <w:color w:val="000000"/>
          <w:sz w:val="26"/>
          <w:szCs w:val="26"/>
        </w:rPr>
        <w:t>комплаенс</w:t>
      </w:r>
      <w:proofErr w:type="spellEnd"/>
      <w:r>
        <w:rPr>
          <w:rStyle w:val="3"/>
          <w:b/>
          <w:color w:val="000000"/>
          <w:sz w:val="26"/>
          <w:szCs w:val="26"/>
        </w:rPr>
        <w:t xml:space="preserve">-рисков и ключевых показателей </w:t>
      </w:r>
      <w:r w:rsidRPr="00F34DE1">
        <w:rPr>
          <w:rStyle w:val="3"/>
          <w:b/>
          <w:color w:val="000000"/>
          <w:sz w:val="26"/>
          <w:szCs w:val="26"/>
        </w:rPr>
        <w:t xml:space="preserve">эффективности функционирования антимонопольного </w:t>
      </w:r>
      <w:proofErr w:type="spellStart"/>
      <w:r w:rsidRPr="00F34DE1">
        <w:rPr>
          <w:rStyle w:val="3"/>
          <w:b/>
          <w:color w:val="000000"/>
          <w:sz w:val="26"/>
          <w:szCs w:val="26"/>
        </w:rPr>
        <w:t>комплаенса</w:t>
      </w:r>
      <w:proofErr w:type="spellEnd"/>
      <w:r>
        <w:rPr>
          <w:rStyle w:val="3"/>
          <w:b/>
          <w:color w:val="000000"/>
          <w:sz w:val="26"/>
          <w:szCs w:val="26"/>
        </w:rPr>
        <w:t xml:space="preserve"> в администрации Арсеньевского городского округа на 2024 год  </w:t>
      </w:r>
    </w:p>
    <w:p w:rsidR="00EA1712" w:rsidRDefault="00EA1712">
      <w:pPr>
        <w:pStyle w:val="31"/>
        <w:shd w:val="clear" w:color="auto" w:fill="auto"/>
        <w:spacing w:before="0" w:after="0" w:line="240" w:lineRule="auto"/>
        <w:ind w:left="709" w:right="851" w:firstLine="0"/>
        <w:jc w:val="center"/>
        <w:rPr>
          <w:rStyle w:val="3"/>
          <w:b/>
          <w:color w:val="000000"/>
          <w:sz w:val="26"/>
          <w:szCs w:val="26"/>
        </w:rPr>
      </w:pPr>
    </w:p>
    <w:p w:rsidR="00EA1712" w:rsidRDefault="00EA1712">
      <w:pPr>
        <w:pStyle w:val="31"/>
        <w:shd w:val="clear" w:color="auto" w:fill="auto"/>
        <w:spacing w:before="0" w:after="0" w:line="240" w:lineRule="auto"/>
        <w:ind w:left="709" w:right="851" w:firstLine="0"/>
        <w:jc w:val="center"/>
        <w:rPr>
          <w:rStyle w:val="3"/>
          <w:b/>
          <w:color w:val="000000"/>
          <w:sz w:val="26"/>
          <w:szCs w:val="26"/>
        </w:rPr>
      </w:pPr>
    </w:p>
    <w:p w:rsidR="00EA1712" w:rsidRDefault="003628DA">
      <w:pPr>
        <w:tabs>
          <w:tab w:val="left" w:pos="8041"/>
        </w:tabs>
        <w:spacing w:line="360" w:lineRule="auto"/>
        <w:rPr>
          <w:rStyle w:val="2"/>
        </w:rPr>
      </w:pPr>
      <w:r>
        <w:rPr>
          <w:bCs/>
          <w:szCs w:val="26"/>
        </w:rPr>
        <w:t xml:space="preserve">  </w:t>
      </w:r>
      <w:r>
        <w:rPr>
          <w:szCs w:val="26"/>
        </w:rPr>
        <w:t>В соответствии с Федеральным законом от 06 октября 2003 года  № 131-ФЗ</w:t>
      </w:r>
      <w:r>
        <w:rPr>
          <w:szCs w:val="26"/>
        </w:rPr>
        <w:t xml:space="preserve"> «Об общих принципах организации местного самоуправления в Российской Федерации», Указом Президента Российской Федерации от 21 декабря 2017 года </w:t>
      </w:r>
      <w:r>
        <w:rPr>
          <w:szCs w:val="26"/>
        </w:rPr>
        <w:t>№ 618 «Об основных направлениях государственной политики по развитию конкуренции», распоряжением Пр</w:t>
      </w:r>
      <w:r>
        <w:rPr>
          <w:szCs w:val="26"/>
        </w:rPr>
        <w:t xml:space="preserve">авительства Российской Федерации от 18 декабря 2018 года № 2258-р «Об утверждении методических рекомендаций по созданию  </w:t>
      </w:r>
      <w:r>
        <w:rPr>
          <w:szCs w:val="26"/>
        </w:rPr>
        <w:t>и организации федеральными органами исполнительной власти системы внутреннего обеспечения соответствия требованиям ант</w:t>
      </w:r>
      <w:r>
        <w:rPr>
          <w:szCs w:val="26"/>
        </w:rPr>
        <w:t xml:space="preserve">имонопольного законодательства», распоряжением Губернатора Приморского края от 28 февраля 2019 года  № 52-рг </w:t>
      </w:r>
      <w:r>
        <w:rPr>
          <w:szCs w:val="26"/>
        </w:rPr>
        <w:t>«О мерах по созданию и организации системы внутреннего обеспечения соответствия требованиям антимонопольного законодательства деятельности</w:t>
      </w:r>
      <w:r>
        <w:rPr>
          <w:szCs w:val="26"/>
        </w:rPr>
        <w:t xml:space="preserve"> органов исполнительной власти Приморского края», </w:t>
      </w:r>
      <w:r>
        <w:rPr>
          <w:rStyle w:val="2"/>
          <w:color w:val="000000"/>
        </w:rPr>
        <w:t>распоряжением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</w:t>
      </w:r>
      <w:r>
        <w:rPr>
          <w:szCs w:val="26"/>
        </w:rPr>
        <w:t xml:space="preserve">ации Арсеньевского городского округа (антимонопольный </w:t>
      </w:r>
      <w:proofErr w:type="spellStart"/>
      <w:r>
        <w:rPr>
          <w:szCs w:val="26"/>
        </w:rPr>
        <w:t>комплаенс</w:t>
      </w:r>
      <w:proofErr w:type="spellEnd"/>
      <w:r>
        <w:rPr>
          <w:rStyle w:val="2"/>
          <w:color w:val="000000"/>
        </w:rPr>
        <w:t>)», распоряжением администрации Арсеньевского городского округа от 22 мая 2020 года № 72-ра  «О реализации мероприятий по созданию и организации системы внутреннего обеспечения соответствия тре</w:t>
      </w:r>
      <w:r>
        <w:rPr>
          <w:rStyle w:val="2"/>
          <w:color w:val="000000"/>
        </w:rPr>
        <w:t>бований антимонопольного законодательства в администрации Арсеньевского городского округа», руководствуясь Уставом Арсеньевского городского округа</w:t>
      </w:r>
    </w:p>
    <w:p w:rsidR="00EA1712" w:rsidRDefault="003628DA">
      <w:pPr>
        <w:spacing w:line="360" w:lineRule="auto"/>
        <w:rPr>
          <w:rStyle w:val="3"/>
          <w:b w:val="0"/>
          <w:sz w:val="26"/>
          <w:szCs w:val="26"/>
        </w:rPr>
      </w:pPr>
      <w:r>
        <w:rPr>
          <w:szCs w:val="26"/>
        </w:rPr>
        <w:t xml:space="preserve">1.  </w:t>
      </w:r>
      <w:r>
        <w:rPr>
          <w:rStyle w:val="3"/>
          <w:b w:val="0"/>
          <w:color w:val="000000"/>
          <w:sz w:val="26"/>
          <w:szCs w:val="26"/>
        </w:rPr>
        <w:t xml:space="preserve">Утвердить прилагаемые: </w:t>
      </w:r>
    </w:p>
    <w:p w:rsidR="00EA1712" w:rsidRDefault="003628DA">
      <w:pPr>
        <w:spacing w:line="360" w:lineRule="auto"/>
        <w:rPr>
          <w:rStyle w:val="3"/>
          <w:b w:val="0"/>
          <w:color w:val="000000"/>
          <w:sz w:val="26"/>
          <w:szCs w:val="26"/>
        </w:rPr>
      </w:pPr>
      <w:r>
        <w:rPr>
          <w:rStyle w:val="3"/>
          <w:b w:val="0"/>
          <w:sz w:val="26"/>
          <w:szCs w:val="26"/>
        </w:rPr>
        <w:t xml:space="preserve">карту </w:t>
      </w:r>
      <w:proofErr w:type="spellStart"/>
      <w:r>
        <w:rPr>
          <w:rStyle w:val="3"/>
          <w:b w:val="0"/>
          <w:sz w:val="26"/>
          <w:szCs w:val="26"/>
        </w:rPr>
        <w:t>комплаенс</w:t>
      </w:r>
      <w:proofErr w:type="spellEnd"/>
      <w:r>
        <w:rPr>
          <w:rStyle w:val="3"/>
          <w:b w:val="0"/>
          <w:sz w:val="26"/>
          <w:szCs w:val="26"/>
        </w:rPr>
        <w:t>-рисков</w:t>
      </w:r>
      <w:r>
        <w:rPr>
          <w:rStyle w:val="2"/>
          <w:color w:val="000000"/>
        </w:rPr>
        <w:t xml:space="preserve"> 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на 2024 год (приложение № 1);</w:t>
      </w:r>
    </w:p>
    <w:p w:rsidR="00EA1712" w:rsidRDefault="00EA1712">
      <w:pPr>
        <w:spacing w:line="360" w:lineRule="auto"/>
        <w:rPr>
          <w:rStyle w:val="3"/>
          <w:b w:val="0"/>
          <w:color w:val="000000"/>
          <w:sz w:val="26"/>
          <w:szCs w:val="26"/>
        </w:rPr>
      </w:pPr>
    </w:p>
    <w:p w:rsidR="00EA1712" w:rsidRDefault="00EA1712">
      <w:pPr>
        <w:spacing w:line="360" w:lineRule="auto"/>
        <w:rPr>
          <w:rStyle w:val="3"/>
          <w:b w:val="0"/>
          <w:color w:val="000000"/>
          <w:sz w:val="26"/>
          <w:szCs w:val="26"/>
        </w:rPr>
      </w:pPr>
    </w:p>
    <w:p w:rsidR="00EA1712" w:rsidRDefault="003628DA">
      <w:pPr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rStyle w:val="3"/>
          <w:b w:val="0"/>
          <w:color w:val="000000"/>
          <w:sz w:val="26"/>
          <w:szCs w:val="26"/>
        </w:rPr>
        <w:t>комплаенса</w:t>
      </w:r>
      <w:proofErr w:type="spellEnd"/>
      <w:r>
        <w:rPr>
          <w:rStyle w:val="3"/>
          <w:b w:val="0"/>
          <w:color w:val="000000"/>
          <w:sz w:val="26"/>
          <w:szCs w:val="26"/>
        </w:rPr>
        <w:t xml:space="preserve"> в </w:t>
      </w:r>
      <w:r>
        <w:rPr>
          <w:rStyle w:val="2"/>
          <w:color w:val="000000"/>
        </w:rPr>
        <w:t>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на 2024 год (приложение № 2).</w:t>
      </w:r>
    </w:p>
    <w:p w:rsidR="00EA1712" w:rsidRDefault="003628DA">
      <w:pPr>
        <w:tabs>
          <w:tab w:val="left" w:pos="1245"/>
        </w:tabs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</w:t>
      </w:r>
      <w:r>
        <w:rPr>
          <w:szCs w:val="26"/>
        </w:rPr>
        <w:t>Организационному управлению (Абрамова) обеспечить размещение на</w:t>
      </w:r>
      <w:r>
        <w:rPr>
          <w:szCs w:val="26"/>
        </w:rPr>
        <w:t xml:space="preserve"> официальном сайте администрации Арсеньевского городского округа настоящего распоряжения.</w:t>
      </w:r>
    </w:p>
    <w:p w:rsidR="00EA1712" w:rsidRDefault="00EA1712">
      <w:pPr>
        <w:tabs>
          <w:tab w:val="left" w:pos="1245"/>
        </w:tabs>
        <w:spacing w:line="360" w:lineRule="auto"/>
        <w:rPr>
          <w:szCs w:val="26"/>
        </w:rPr>
      </w:pPr>
    </w:p>
    <w:p w:rsidR="00EA1712" w:rsidRDefault="00EA1712">
      <w:pPr>
        <w:tabs>
          <w:tab w:val="left" w:pos="1245"/>
        </w:tabs>
        <w:spacing w:line="360" w:lineRule="auto"/>
        <w:rPr>
          <w:szCs w:val="26"/>
        </w:rPr>
      </w:pPr>
    </w:p>
    <w:p w:rsidR="00EA1712" w:rsidRDefault="003628DA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В.С. Пивень</w:t>
      </w:r>
    </w:p>
    <w:p w:rsidR="00EA1712" w:rsidRDefault="00EA1712">
      <w:pPr>
        <w:widowControl/>
        <w:spacing w:line="360" w:lineRule="auto"/>
        <w:ind w:firstLine="0"/>
        <w:jc w:val="left"/>
        <w:rPr>
          <w:szCs w:val="26"/>
        </w:rPr>
        <w:sectPr w:rsidR="00EA1712">
          <w:pgSz w:w="11906" w:h="16838"/>
          <w:pgMar w:top="284" w:right="851" w:bottom="993" w:left="1418" w:header="0" w:footer="0" w:gutter="0"/>
          <w:cols w:space="720"/>
          <w:formProt w:val="0"/>
          <w:docGrid w:linePitch="100"/>
        </w:sectPr>
      </w:pPr>
    </w:p>
    <w:p w:rsidR="00EA1712" w:rsidRDefault="00EA1712">
      <w:pPr>
        <w:ind w:left="5529" w:firstLine="2409"/>
        <w:jc w:val="center"/>
        <w:outlineLvl w:val="0"/>
        <w:rPr>
          <w:sz w:val="28"/>
          <w:szCs w:val="28"/>
        </w:rPr>
      </w:pPr>
    </w:p>
    <w:p w:rsidR="00EA1712" w:rsidRDefault="00EA1712">
      <w:pPr>
        <w:ind w:left="5529" w:firstLine="2409"/>
        <w:jc w:val="center"/>
        <w:outlineLvl w:val="0"/>
        <w:rPr>
          <w:sz w:val="28"/>
          <w:szCs w:val="28"/>
        </w:rPr>
      </w:pPr>
    </w:p>
    <w:p w:rsidR="00EA1712" w:rsidRDefault="003628DA">
      <w:pPr>
        <w:ind w:left="5529" w:firstLine="24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Приложение № 1</w:t>
      </w:r>
    </w:p>
    <w:p w:rsidR="00EA1712" w:rsidRDefault="003628DA">
      <w:pPr>
        <w:ind w:left="5529" w:firstLine="2409"/>
        <w:jc w:val="center"/>
        <w:outlineLvl w:val="0"/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br/>
        <w:t xml:space="preserve">                                                                  УТВЕРЖДЕНА</w:t>
      </w:r>
    </w:p>
    <w:p w:rsidR="00EA1712" w:rsidRDefault="003628DA">
      <w:pPr>
        <w:ind w:left="5529"/>
        <w:jc w:val="center"/>
        <w:rPr>
          <w:rFonts w:ascii="Calibri" w:hAnsi="Calibri" w:cs="Calibri"/>
          <w:sz w:val="22"/>
        </w:rPr>
      </w:pPr>
      <w:r>
        <w:rPr>
          <w:sz w:val="28"/>
          <w:szCs w:val="28"/>
        </w:rPr>
        <w:t xml:space="preserve">                                                         распоряжением администрации</w:t>
      </w:r>
    </w:p>
    <w:p w:rsidR="00EA1712" w:rsidRDefault="003628DA">
      <w:pPr>
        <w:ind w:left="5529"/>
        <w:jc w:val="center"/>
        <w:rPr>
          <w:rFonts w:ascii="Calibri" w:hAnsi="Calibri" w:cs="Calibri"/>
          <w:sz w:val="22"/>
        </w:rPr>
      </w:pPr>
      <w:r>
        <w:rPr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EA1712" w:rsidRDefault="003628DA">
      <w:pPr>
        <w:tabs>
          <w:tab w:val="left" w:pos="975"/>
        </w:tabs>
        <w:ind w:left="5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EA1712" w:rsidRDefault="003628DA">
      <w:pPr>
        <w:ind w:left="10206" w:firstLine="0"/>
        <w:outlineLvl w:val="0"/>
        <w:rPr>
          <w:b/>
        </w:rPr>
      </w:pPr>
      <w:r>
        <w:rPr>
          <w:rStyle w:val="a3"/>
          <w:b w:val="0"/>
          <w:sz w:val="28"/>
          <w:szCs w:val="28"/>
        </w:rPr>
        <w:t>от «</w:t>
      </w:r>
      <w:r w:rsidR="001545EB" w:rsidRPr="001545EB">
        <w:rPr>
          <w:rStyle w:val="a3"/>
          <w:b w:val="0"/>
          <w:sz w:val="28"/>
          <w:szCs w:val="28"/>
          <w:u w:val="single"/>
        </w:rPr>
        <w:t>13</w:t>
      </w:r>
      <w:r w:rsidRPr="001545EB">
        <w:rPr>
          <w:rStyle w:val="a3"/>
          <w:b w:val="0"/>
          <w:sz w:val="28"/>
          <w:szCs w:val="28"/>
          <w:u w:val="single"/>
        </w:rPr>
        <w:t xml:space="preserve">» </w:t>
      </w:r>
      <w:r w:rsidR="001545EB" w:rsidRPr="001545EB">
        <w:rPr>
          <w:rStyle w:val="a3"/>
          <w:b w:val="0"/>
          <w:sz w:val="28"/>
          <w:szCs w:val="28"/>
          <w:u w:val="single"/>
        </w:rPr>
        <w:t xml:space="preserve">декабря </w:t>
      </w:r>
      <w:r w:rsidRPr="001545EB">
        <w:rPr>
          <w:rStyle w:val="a3"/>
          <w:b w:val="0"/>
          <w:sz w:val="28"/>
          <w:szCs w:val="28"/>
          <w:u w:val="single"/>
        </w:rPr>
        <w:t>2023 года</w:t>
      </w:r>
      <w:r>
        <w:rPr>
          <w:rStyle w:val="a3"/>
          <w:b w:val="0"/>
          <w:sz w:val="28"/>
          <w:szCs w:val="28"/>
        </w:rPr>
        <w:t xml:space="preserve"> № </w:t>
      </w:r>
      <w:r w:rsidR="001545EB">
        <w:rPr>
          <w:rStyle w:val="a3"/>
          <w:b w:val="0"/>
          <w:sz w:val="28"/>
          <w:szCs w:val="28"/>
          <w:u w:val="single"/>
        </w:rPr>
        <w:t>325-ра</w:t>
      </w:r>
      <w:r>
        <w:rPr>
          <w:rStyle w:val="a3"/>
          <w:b w:val="0"/>
          <w:sz w:val="28"/>
          <w:szCs w:val="28"/>
        </w:rPr>
        <w:t xml:space="preserve">   </w:t>
      </w:r>
    </w:p>
    <w:p w:rsidR="00EA1712" w:rsidRDefault="00EA1712">
      <w:pPr>
        <w:jc w:val="center"/>
        <w:rPr>
          <w:b/>
          <w:sz w:val="28"/>
          <w:szCs w:val="28"/>
        </w:rPr>
      </w:pPr>
    </w:p>
    <w:p w:rsidR="00EA1712" w:rsidRDefault="003628DA">
      <w:pPr>
        <w:jc w:val="center"/>
      </w:pPr>
      <w:r>
        <w:rPr>
          <w:b/>
          <w:sz w:val="28"/>
          <w:szCs w:val="28"/>
        </w:rPr>
        <w:t xml:space="preserve">Карта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 xml:space="preserve">-рисков администрации Арсеньевского городского округа </w:t>
      </w:r>
      <w:r>
        <w:rPr>
          <w:b/>
          <w:sz w:val="28"/>
          <w:szCs w:val="28"/>
        </w:rPr>
        <w:t xml:space="preserve">на 2024 год </w:t>
      </w:r>
    </w:p>
    <w:p w:rsidR="00EA1712" w:rsidRDefault="00EA1712">
      <w:pPr>
        <w:jc w:val="center"/>
        <w:rPr>
          <w:b/>
          <w:szCs w:val="26"/>
        </w:rPr>
      </w:pPr>
    </w:p>
    <w:tbl>
      <w:tblPr>
        <w:tblW w:w="15075" w:type="dxa"/>
        <w:jc w:val="right"/>
        <w:tblLayout w:type="fixed"/>
        <w:tblCellMar>
          <w:left w:w="28" w:type="dxa"/>
          <w:right w:w="6" w:type="dxa"/>
        </w:tblCellMar>
        <w:tblLook w:val="04A0" w:firstRow="1" w:lastRow="0" w:firstColumn="1" w:lastColumn="0" w:noHBand="0" w:noVBand="1"/>
      </w:tblPr>
      <w:tblGrid>
        <w:gridCol w:w="552"/>
        <w:gridCol w:w="2069"/>
        <w:gridCol w:w="2950"/>
        <w:gridCol w:w="3221"/>
        <w:gridCol w:w="2561"/>
        <w:gridCol w:w="1677"/>
        <w:gridCol w:w="2045"/>
      </w:tblGrid>
      <w:tr w:rsidR="00EA1712">
        <w:trPr>
          <w:jc w:val="righ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pacing w:after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Уровень риска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Вид риска (описание)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Причины и условия возникновения (описание)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EA1712">
        <w:trPr>
          <w:trHeight w:val="2267"/>
          <w:jc w:val="righ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нормативных правовых актов (далее – НПА), регламентирующих деятельность органов местного самоуправления по предоставлению муниципальных услуг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23"/>
              <w:ind w:firstLine="0"/>
              <w:jc w:val="left"/>
            </w:pPr>
            <w:r>
              <w:rPr>
                <w:sz w:val="24"/>
                <w:szCs w:val="24"/>
              </w:rPr>
              <w:t>Недостаточный уровень внутреннего контроля; недостаточный уровень квалификации специалистов; высокая нагрузка сотр</w:t>
            </w:r>
            <w:r>
              <w:rPr>
                <w:sz w:val="24"/>
                <w:szCs w:val="24"/>
              </w:rPr>
              <w:t>удников; нарушение порядка подготовки и согласования проекта НПА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Повышение профессиональной подготовки работников, обучение сотрудников; повышение эффективности процесса управления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EA1712">
        <w:trPr>
          <w:trHeight w:val="5385"/>
          <w:jc w:val="righ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Осуществление закупок товаров, работ, услуг</w:t>
            </w:r>
            <w:r>
              <w:rPr>
                <w:sz w:val="24"/>
                <w:szCs w:val="24"/>
              </w:rPr>
              <w:t xml:space="preserve"> для государственных нужд; предоставление в пользование государственного имущества, включая земельные участки; проведение обязательных торгов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Недостаточный уровень внутреннего контроля; недостаточный уровень квалификации специалистов; высокая нагрузка сотр</w:t>
            </w:r>
            <w:r>
              <w:rPr>
                <w:sz w:val="24"/>
                <w:szCs w:val="24"/>
              </w:rPr>
              <w:t>удников; 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 несобл</w:t>
            </w:r>
            <w:r>
              <w:rPr>
                <w:sz w:val="24"/>
                <w:szCs w:val="24"/>
              </w:rPr>
              <w:t>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 xml:space="preserve">Повышение профессиональной </w:t>
            </w:r>
            <w:r>
              <w:rPr>
                <w:sz w:val="24"/>
                <w:szCs w:val="24"/>
              </w:rPr>
              <w:t xml:space="preserve">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</w:t>
            </w:r>
            <w:r>
              <w:rPr>
                <w:sz w:val="24"/>
                <w:szCs w:val="24"/>
              </w:rPr>
              <w:t>позиций ФАС России и судебной практики; контроль процесса подготовки закупочной документации (документации по торгам) на стадии согласования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EA1712">
        <w:trPr>
          <w:trHeight w:val="1140"/>
          <w:jc w:val="righ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left="113" w:firstLine="0"/>
              <w:jc w:val="center"/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ind w:firstLine="0"/>
              <w:jc w:val="left"/>
            </w:pPr>
            <w:r>
              <w:rPr>
                <w:sz w:val="24"/>
                <w:szCs w:val="24"/>
              </w:rPr>
              <w:t>Предоставление преференций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 xml:space="preserve">Недостаточный уровень внутреннего контроля; </w:t>
            </w:r>
            <w:r>
              <w:rPr>
                <w:sz w:val="24"/>
                <w:szCs w:val="24"/>
              </w:rPr>
              <w:t>недостаточный уровень квалификации специалистов; наличие конфликта интересов; несоблюдение требований Закона о защите конкуренции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</w:t>
            </w:r>
            <w:r>
              <w:rPr>
                <w:sz w:val="24"/>
                <w:szCs w:val="24"/>
              </w:rPr>
              <w:t>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EA1712">
        <w:trPr>
          <w:trHeight w:val="547"/>
          <w:jc w:val="righ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left="113" w:firstLine="0"/>
              <w:jc w:val="center"/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Недостаточный уровень внутреннего контроля; недостаточный уровень</w:t>
            </w:r>
            <w:r>
              <w:rPr>
                <w:sz w:val="24"/>
                <w:szCs w:val="24"/>
              </w:rPr>
              <w:t xml:space="preserve"> квалификации специалистов; наличие конфликта интересов;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 xml:space="preserve">Повышение профессиональной подготовки </w:t>
            </w:r>
            <w:r>
              <w:rPr>
                <w:sz w:val="24"/>
                <w:szCs w:val="24"/>
              </w:rPr>
              <w:t>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EA1712">
        <w:trPr>
          <w:trHeight w:val="1140"/>
          <w:jc w:val="righ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Создание и </w:t>
            </w:r>
            <w:r>
              <w:rPr>
                <w:sz w:val="24"/>
                <w:szCs w:val="24"/>
              </w:rPr>
              <w:t>курирование подведомственных учреждений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Недостаточный уровень внутреннего контроля; недостаточный уровень квалификации специалистов; несоблюдение требований действующего законодательства, в том числе Закона о некоммерческих организациях, БК РФ и т.д.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>ение профессиональной подготовки работников, обучение сотрудников; повышение эффективности процесса управления;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EA1712">
        <w:trPr>
          <w:trHeight w:val="7007"/>
          <w:jc w:val="righ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ind w:firstLine="0"/>
              <w:jc w:val="left"/>
            </w:pPr>
            <w:r>
              <w:rPr>
                <w:sz w:val="24"/>
                <w:szCs w:val="24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Недос</w:t>
            </w:r>
            <w:r>
              <w:rPr>
                <w:sz w:val="24"/>
                <w:szCs w:val="24"/>
              </w:rPr>
              <w:t xml:space="preserve">таточный уровень внутреннего контроля; недостаточный уровень квалификации специалистов; высокая нагрузка сотрудников; наличие конфликта интересов; отсутствие регламента предоставления конкретной муниципальной услуги; ослабление контроля за предоставлением </w:t>
            </w: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ind w:firstLine="0"/>
              <w:jc w:val="left"/>
            </w:pPr>
            <w:r>
              <w:rPr>
                <w:sz w:val="24"/>
                <w:szCs w:val="24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</w:t>
            </w:r>
            <w:r>
              <w:rPr>
                <w:sz w:val="24"/>
                <w:szCs w:val="24"/>
              </w:rPr>
              <w:t>.п.); осуществление текущего контроля предоставления муниципальной услуги; совершенствование механизмов контроля; Разработка НПА, регламентирующих порядок предоставления определённой муниципальной услуги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EA1712">
        <w:trPr>
          <w:trHeight w:val="1105"/>
          <w:jc w:val="righ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left="113" w:firstLine="0"/>
              <w:jc w:val="center"/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ind w:left="80" w:firstLine="0"/>
              <w:jc w:val="left"/>
            </w:pPr>
            <w:r>
              <w:rPr>
                <w:sz w:val="24"/>
                <w:szCs w:val="24"/>
              </w:rPr>
              <w:t>Необоснованный</w:t>
            </w:r>
            <w:r>
              <w:rPr>
                <w:sz w:val="24"/>
                <w:szCs w:val="24"/>
              </w:rPr>
              <w:t xml:space="preserve"> отказ в предоставлении муниципальной услуги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ослабление контроля за предоставлением муниципальной услуги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Повышение профессиональной подготовки работников, обучение сотрудников; повышение эффективности процесса управления; осуществление текущего контроля предоставления муниципальной услуги; проведение мероприятий по предотвращению конфликта интересов у работн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EA1712">
        <w:trPr>
          <w:trHeight w:val="4247"/>
          <w:jc w:val="righ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left="113" w:firstLine="0"/>
              <w:jc w:val="center"/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sz w:val="24"/>
                <w:szCs w:val="24"/>
              </w:rPr>
              <w:t>антиконкурентного</w:t>
            </w:r>
            <w:proofErr w:type="spellEnd"/>
            <w:r>
              <w:rPr>
                <w:sz w:val="24"/>
                <w:szCs w:val="24"/>
              </w:rPr>
              <w:t xml:space="preserve"> соглашения, в том числе на торгах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 xml:space="preserve">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</w:t>
            </w:r>
            <w:r>
              <w:rPr>
                <w:sz w:val="24"/>
                <w:szCs w:val="24"/>
              </w:rPr>
              <w:t>поведения сотрудника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after="280"/>
              <w:ind w:firstLine="0"/>
              <w:jc w:val="left"/>
            </w:pPr>
            <w:r>
              <w:rPr>
                <w:sz w:val="24"/>
                <w:szCs w:val="24"/>
              </w:rPr>
              <w:t>Доведение до сведения работников правовых позиций ФАС России и территориальных органов и судебной практики; проведение мероприятий по предотвращению конфликта интересов у работника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712" w:rsidRDefault="003628DA">
            <w:pPr>
              <w:spacing w:before="280"/>
              <w:ind w:firstLine="0"/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</w:tbl>
    <w:p w:rsidR="00EA1712" w:rsidRDefault="00EA1712"/>
    <w:p w:rsidR="00EA1712" w:rsidRDefault="00EA1712">
      <w:pPr>
        <w:jc w:val="center"/>
        <w:rPr>
          <w:b/>
          <w:bCs/>
          <w:sz w:val="28"/>
        </w:rPr>
      </w:pPr>
    </w:p>
    <w:p w:rsidR="00EA1712" w:rsidRDefault="003628DA">
      <w:pPr>
        <w:widowControl/>
        <w:ind w:firstLine="0"/>
        <w:jc w:val="left"/>
        <w:rPr>
          <w:b/>
          <w:sz w:val="28"/>
          <w:szCs w:val="28"/>
          <w:shd w:val="clear" w:color="auto" w:fill="FFFFFF"/>
        </w:rPr>
      </w:pPr>
      <w:r>
        <w:br w:type="page"/>
      </w:r>
    </w:p>
    <w:p w:rsidR="00EA1712" w:rsidRDefault="003628DA">
      <w:pPr>
        <w:spacing w:line="360" w:lineRule="auto"/>
        <w:ind w:left="5529" w:right="60"/>
        <w:jc w:val="center"/>
        <w:outlineLvl w:val="0"/>
      </w:pPr>
      <w:r>
        <w:rPr>
          <w:sz w:val="28"/>
          <w:szCs w:val="28"/>
        </w:rPr>
        <w:t xml:space="preserve">                                                       </w:t>
      </w:r>
    </w:p>
    <w:p w:rsidR="00EA1712" w:rsidRDefault="00EA1712">
      <w:pPr>
        <w:spacing w:line="360" w:lineRule="auto"/>
        <w:ind w:left="5529" w:right="60"/>
        <w:jc w:val="center"/>
        <w:outlineLvl w:val="0"/>
        <w:rPr>
          <w:sz w:val="28"/>
          <w:szCs w:val="28"/>
        </w:rPr>
      </w:pPr>
    </w:p>
    <w:p w:rsidR="00EA1712" w:rsidRDefault="003628DA">
      <w:pPr>
        <w:spacing w:line="360" w:lineRule="auto"/>
        <w:ind w:left="5529" w:right="60"/>
        <w:jc w:val="center"/>
        <w:outlineLvl w:val="0"/>
      </w:pPr>
      <w:r>
        <w:rPr>
          <w:sz w:val="28"/>
          <w:szCs w:val="28"/>
        </w:rPr>
        <w:t xml:space="preserve">                                                       Приложение № 2</w:t>
      </w:r>
    </w:p>
    <w:p w:rsidR="00EA1712" w:rsidRDefault="003628DA">
      <w:pPr>
        <w:ind w:left="5529" w:right="60"/>
        <w:jc w:val="center"/>
        <w:outlineLvl w:val="0"/>
      </w:pPr>
      <w:r>
        <w:rPr>
          <w:sz w:val="28"/>
          <w:szCs w:val="28"/>
        </w:rPr>
        <w:t xml:space="preserve">                                                       УТВЕРЖДЕНЫ</w:t>
      </w:r>
    </w:p>
    <w:p w:rsidR="00EA1712" w:rsidRDefault="003628DA">
      <w:pPr>
        <w:ind w:left="5529"/>
        <w:jc w:val="center"/>
        <w:rPr>
          <w:rFonts w:ascii="Calibri" w:hAnsi="Calibri" w:cs="Calibri"/>
          <w:sz w:val="22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распоряжением администрации</w:t>
      </w:r>
    </w:p>
    <w:p w:rsidR="00EA1712" w:rsidRDefault="003628DA">
      <w:pPr>
        <w:ind w:left="5529"/>
        <w:jc w:val="center"/>
        <w:rPr>
          <w:rFonts w:ascii="Calibri" w:hAnsi="Calibri" w:cs="Calibri"/>
          <w:sz w:val="22"/>
        </w:rPr>
      </w:pPr>
      <w:r>
        <w:rPr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EA1712" w:rsidRDefault="003628DA">
      <w:pPr>
        <w:shd w:val="clear" w:color="auto" w:fill="FFFFFF"/>
        <w:tabs>
          <w:tab w:val="left" w:pos="975"/>
        </w:tabs>
        <w:ind w:left="5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EA1712" w:rsidRDefault="003628DA">
      <w:pPr>
        <w:shd w:val="clear" w:color="auto" w:fill="FFFFFF"/>
        <w:tabs>
          <w:tab w:val="left" w:pos="975"/>
        </w:tabs>
        <w:ind w:left="5529"/>
        <w:jc w:val="center"/>
        <w:rPr>
          <w:rFonts w:ascii="Calibri" w:hAnsi="Calibri" w:cs="Calibri"/>
          <w:sz w:val="22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rStyle w:val="a3"/>
          <w:b w:val="0"/>
          <w:sz w:val="28"/>
          <w:szCs w:val="28"/>
        </w:rPr>
        <w:t>от «</w:t>
      </w:r>
      <w:r w:rsidRPr="001545EB">
        <w:rPr>
          <w:rStyle w:val="a3"/>
          <w:b w:val="0"/>
          <w:sz w:val="28"/>
          <w:szCs w:val="28"/>
          <w:u w:val="single"/>
        </w:rPr>
        <w:t>13» декабря 2023 года</w:t>
      </w:r>
      <w:r>
        <w:rPr>
          <w:rStyle w:val="a3"/>
          <w:b w:val="0"/>
          <w:sz w:val="28"/>
          <w:szCs w:val="28"/>
        </w:rPr>
        <w:t xml:space="preserve"> № </w:t>
      </w:r>
      <w:r>
        <w:rPr>
          <w:rStyle w:val="a3"/>
          <w:b w:val="0"/>
          <w:sz w:val="28"/>
          <w:szCs w:val="28"/>
          <w:u w:val="single"/>
        </w:rPr>
        <w:t>325-ра</w:t>
      </w:r>
      <w:bookmarkStart w:id="0" w:name="_GoBack"/>
      <w:bookmarkEnd w:id="0"/>
    </w:p>
    <w:p w:rsidR="00EA1712" w:rsidRDefault="00EA1712">
      <w:pPr>
        <w:shd w:val="clear" w:color="auto" w:fill="FFFFFF"/>
        <w:spacing w:after="296" w:line="322" w:lineRule="exact"/>
        <w:ind w:right="60" w:firstLine="0"/>
        <w:outlineLvl w:val="1"/>
        <w:rPr>
          <w:szCs w:val="26"/>
        </w:rPr>
      </w:pPr>
    </w:p>
    <w:p w:rsidR="00EA1712" w:rsidRDefault="003628DA">
      <w:pPr>
        <w:shd w:val="clear" w:color="auto" w:fill="FFFFFF"/>
        <w:ind w:right="60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b/>
          <w:bCs/>
          <w:sz w:val="28"/>
          <w:szCs w:val="28"/>
        </w:rPr>
        <w:t>комплаенса</w:t>
      </w:r>
      <w:proofErr w:type="spellEnd"/>
    </w:p>
    <w:p w:rsidR="00EA1712" w:rsidRDefault="003628DA">
      <w:pPr>
        <w:shd w:val="clear" w:color="auto" w:fill="FFFFFF"/>
        <w:spacing w:after="296"/>
        <w:ind w:right="60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администрации Арсеньевского городского округа на 2024 год</w:t>
      </w:r>
    </w:p>
    <w:tbl>
      <w:tblPr>
        <w:tblW w:w="148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28"/>
        <w:gridCol w:w="9430"/>
        <w:gridCol w:w="4620"/>
      </w:tblGrid>
      <w:tr w:rsidR="00EA171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hd w:val="clear" w:color="auto" w:fill="FFFFFF"/>
              <w:spacing w:after="60" w:line="240" w:lineRule="exact"/>
              <w:ind w:left="300" w:firstLine="0"/>
              <w:jc w:val="left"/>
              <w:rPr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A1712" w:rsidRDefault="003628DA">
            <w:pPr>
              <w:shd w:val="clear" w:color="auto" w:fill="FFFFFF"/>
              <w:spacing w:before="60" w:line="240" w:lineRule="exact"/>
              <w:ind w:left="200" w:firstLine="0"/>
              <w:jc w:val="left"/>
              <w:rPr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hd w:val="clear" w:color="auto" w:fill="FFFFFF"/>
              <w:spacing w:line="240" w:lineRule="exact"/>
              <w:ind w:firstLine="0"/>
              <w:jc w:val="center"/>
              <w:rPr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Ключевые показатели  эффективности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hd w:val="clear" w:color="auto" w:fill="FFFFFF"/>
              <w:spacing w:line="274" w:lineRule="exact"/>
              <w:ind w:firstLine="0"/>
              <w:jc w:val="center"/>
              <w:rPr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EA171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712" w:rsidRDefault="003628DA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color w:val="000000"/>
                <w:szCs w:val="26"/>
              </w:rPr>
              <w:t xml:space="preserve"> Доля проектов нормативных правовых </w:t>
            </w:r>
            <w:r>
              <w:rPr>
                <w:color w:val="000000"/>
                <w:szCs w:val="26"/>
              </w:rPr>
              <w:t>актов, разработчиком которых является  администрация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712" w:rsidRDefault="003628DA">
            <w:pPr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Не более 10%</w:t>
            </w:r>
          </w:p>
        </w:tc>
      </w:tr>
      <w:tr w:rsidR="00EA171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712" w:rsidRDefault="003628DA">
            <w:pPr>
              <w:keepNext/>
              <w:keepLines/>
              <w:shd w:val="clear" w:color="auto" w:fill="FFFFFF"/>
              <w:spacing w:line="322" w:lineRule="exact"/>
              <w:ind w:firstLine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Доля нормативных правовых актов, разработанных администрацией Арсеньевского городског</w:t>
            </w:r>
            <w:r>
              <w:rPr>
                <w:color w:val="000000"/>
                <w:szCs w:val="26"/>
              </w:rPr>
              <w:t>о округа, в которых выявлены риски нарушения антимонопольного законодательства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12" w:rsidRDefault="00EA1712">
            <w:pPr>
              <w:ind w:firstLine="0"/>
              <w:jc w:val="center"/>
              <w:rPr>
                <w:color w:val="000000"/>
                <w:szCs w:val="26"/>
                <w:lang w:eastAsia="en-US"/>
              </w:rPr>
            </w:pPr>
          </w:p>
          <w:p w:rsidR="00EA1712" w:rsidRDefault="00EA1712">
            <w:pPr>
              <w:ind w:firstLine="0"/>
              <w:jc w:val="center"/>
              <w:rPr>
                <w:color w:val="000000"/>
                <w:szCs w:val="26"/>
                <w:lang w:eastAsia="en-US"/>
              </w:rPr>
            </w:pPr>
          </w:p>
          <w:p w:rsidR="00EA1712" w:rsidRDefault="003628DA">
            <w:pPr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Не более 10%</w:t>
            </w:r>
          </w:p>
        </w:tc>
      </w:tr>
      <w:tr w:rsidR="00EA171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712" w:rsidRDefault="003628DA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712" w:rsidRDefault="003628DA">
            <w:pPr>
              <w:ind w:firstLine="0"/>
              <w:rPr>
                <w:rFonts w:asciiTheme="minorHAnsi" w:eastAsiaTheme="minorHAnsi" w:hAnsiTheme="minorHAnsi" w:cs="Calibri"/>
                <w:b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6"/>
                <w:lang w:eastAsia="en-US"/>
              </w:rPr>
              <w:t>Коэффициент  снижения количества нарушений антимонопольного законодательства со стороны администрации Арсеньевского городского округа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712" w:rsidRDefault="003628DA">
            <w:pPr>
              <w:ind w:firstLine="0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50 %</w:t>
            </w:r>
          </w:p>
        </w:tc>
      </w:tr>
    </w:tbl>
    <w:p w:rsidR="00EA1712" w:rsidRDefault="00EA1712">
      <w:pPr>
        <w:shd w:val="clear" w:color="auto" w:fill="FFFFFF"/>
        <w:spacing w:after="296"/>
        <w:ind w:right="60"/>
        <w:jc w:val="center"/>
      </w:pPr>
    </w:p>
    <w:p w:rsidR="00EA1712" w:rsidRDefault="00EA1712">
      <w:pPr>
        <w:shd w:val="clear" w:color="auto" w:fill="FFFFFF"/>
        <w:spacing w:line="298" w:lineRule="exact"/>
        <w:ind w:left="540" w:firstLine="0"/>
        <w:jc w:val="center"/>
        <w:rPr>
          <w:b/>
          <w:sz w:val="28"/>
          <w:szCs w:val="28"/>
          <w:shd w:val="clear" w:color="auto" w:fill="FFFFFF"/>
        </w:rPr>
      </w:pPr>
    </w:p>
    <w:p w:rsidR="00EA1712" w:rsidRDefault="00EA1712"/>
    <w:sectPr w:rsidR="00EA1712">
      <w:pgSz w:w="16838" w:h="11906" w:orient="landscape"/>
      <w:pgMar w:top="567" w:right="567" w:bottom="851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2"/>
    <w:rsid w:val="001545EB"/>
    <w:rsid w:val="003628DA"/>
    <w:rsid w:val="00EA1712"/>
    <w:rsid w:val="00F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652"/>
  <w15:docId w15:val="{5C5EA30D-AA3B-496F-B9C8-BD27ED9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54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607A54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607A54"/>
    <w:rPr>
      <w:sz w:val="26"/>
      <w:szCs w:val="26"/>
      <w:lang w:bidi="ar-SA"/>
    </w:rPr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(3)1"/>
    <w:basedOn w:val="a"/>
    <w:qFormat/>
    <w:rsid w:val="00607A54"/>
    <w:pPr>
      <w:shd w:val="clear" w:color="auto" w:fill="FFFFFF"/>
      <w:spacing w:before="420" w:after="120" w:line="240" w:lineRule="atLeas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dc:description/>
  <cp:lastModifiedBy>Герасимова Зоя Николаевна</cp:lastModifiedBy>
  <cp:revision>13</cp:revision>
  <cp:lastPrinted>2023-12-12T15:45:00Z</cp:lastPrinted>
  <dcterms:created xsi:type="dcterms:W3CDTF">2022-11-25T04:04:00Z</dcterms:created>
  <dcterms:modified xsi:type="dcterms:W3CDTF">2023-12-13T05:39:00Z</dcterms:modified>
  <dc:language>ru-RU</dc:language>
</cp:coreProperties>
</file>