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FBD5" w14:textId="26CD2C21" w:rsidR="008C0585" w:rsidRDefault="008C0585" w:rsidP="008C05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71FFBA75" wp14:editId="56C6E1B1">
            <wp:extent cx="680085" cy="848360"/>
            <wp:effectExtent l="0" t="0" r="5715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18C9" w14:textId="77777777" w:rsidR="008C0585" w:rsidRDefault="008C0585" w:rsidP="008C05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59AFC" w14:textId="77777777" w:rsidR="008C0585" w:rsidRPr="00445239" w:rsidRDefault="008C0585" w:rsidP="008C05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39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14:paraId="36D75F5C" w14:textId="77777777" w:rsidR="008C0585" w:rsidRDefault="008C0585" w:rsidP="008C05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39"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</w:t>
      </w:r>
    </w:p>
    <w:p w14:paraId="18C4C881" w14:textId="504CB6EF" w:rsidR="00CF6607" w:rsidRPr="00445239" w:rsidRDefault="00CF6607" w:rsidP="008C05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14:paraId="7F720D88" w14:textId="77777777" w:rsidR="008C0585" w:rsidRDefault="008C0585" w:rsidP="008C0585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60EC8E8F" w14:textId="77777777" w:rsidR="008C0585" w:rsidRPr="00CF6607" w:rsidRDefault="008C0585" w:rsidP="00CF6607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F660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CF6607">
        <w:rPr>
          <w:rFonts w:ascii="Times New Roman" w:hAnsi="Times New Roman" w:cs="Times New Roman"/>
          <w:sz w:val="24"/>
          <w:szCs w:val="24"/>
        </w:rPr>
        <w:t xml:space="preserve"> Думой </w:t>
      </w:r>
    </w:p>
    <w:p w14:paraId="6E25EFFE" w14:textId="77777777" w:rsidR="008C0585" w:rsidRPr="00CF6607" w:rsidRDefault="008C0585" w:rsidP="00CF6607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F6607"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 w:rsidRPr="00CF6607">
        <w:rPr>
          <w:rFonts w:ascii="Times New Roman" w:hAnsi="Times New Roman" w:cs="Times New Roman"/>
          <w:sz w:val="24"/>
          <w:szCs w:val="24"/>
        </w:rPr>
        <w:t xml:space="preserve"> городского  округа</w:t>
      </w:r>
    </w:p>
    <w:p w14:paraId="4074E0A1" w14:textId="20794A5F" w:rsidR="008C0585" w:rsidRPr="00CF6607" w:rsidRDefault="00CF6607" w:rsidP="00CF6607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 w:rsidRPr="00CF6607">
        <w:rPr>
          <w:rFonts w:ascii="Times New Roman" w:hAnsi="Times New Roman" w:cs="Times New Roman"/>
          <w:sz w:val="24"/>
          <w:szCs w:val="24"/>
        </w:rPr>
        <w:t>29 сентября</w:t>
      </w:r>
      <w:r w:rsidR="008C0585" w:rsidRPr="00CF6607">
        <w:rPr>
          <w:rFonts w:ascii="Times New Roman" w:hAnsi="Times New Roman" w:cs="Times New Roman"/>
          <w:sz w:val="24"/>
          <w:szCs w:val="24"/>
        </w:rPr>
        <w:t xml:space="preserve"> 2021года</w:t>
      </w:r>
    </w:p>
    <w:p w14:paraId="5EDA55FB" w14:textId="77777777" w:rsidR="008C0585" w:rsidRPr="00CA74F3" w:rsidRDefault="008C0585" w:rsidP="008C0585">
      <w:pPr>
        <w:pStyle w:val="ConsPlusNormal"/>
        <w:widowControl/>
        <w:ind w:left="5652" w:firstLine="0"/>
        <w:rPr>
          <w:rFonts w:ascii="Times New Roman" w:hAnsi="Times New Roman" w:cs="Times New Roman"/>
          <w:sz w:val="26"/>
          <w:szCs w:val="26"/>
        </w:rPr>
      </w:pPr>
    </w:p>
    <w:p w14:paraId="6826D80E" w14:textId="77777777" w:rsidR="00CF6607" w:rsidRPr="0009556A" w:rsidRDefault="00CE7AFA" w:rsidP="005C5431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09556A">
        <w:rPr>
          <w:b/>
          <w:sz w:val="25"/>
          <w:szCs w:val="25"/>
        </w:rPr>
        <w:t xml:space="preserve">Порядок определения части территории </w:t>
      </w:r>
      <w:proofErr w:type="spellStart"/>
      <w:r w:rsidRPr="0009556A">
        <w:rPr>
          <w:b/>
          <w:sz w:val="25"/>
          <w:szCs w:val="25"/>
        </w:rPr>
        <w:t>Арсеньевского</w:t>
      </w:r>
      <w:proofErr w:type="spellEnd"/>
      <w:r w:rsidRPr="0009556A">
        <w:rPr>
          <w:b/>
          <w:sz w:val="25"/>
          <w:szCs w:val="25"/>
        </w:rPr>
        <w:t xml:space="preserve"> городского округа, </w:t>
      </w:r>
    </w:p>
    <w:p w14:paraId="4D6E547D" w14:textId="353B7E1C" w:rsidR="005C5431" w:rsidRPr="0009556A" w:rsidRDefault="00CE7AFA" w:rsidP="005C5431">
      <w:pPr>
        <w:widowControl w:val="0"/>
        <w:autoSpaceDE w:val="0"/>
        <w:autoSpaceDN w:val="0"/>
        <w:jc w:val="center"/>
        <w:rPr>
          <w:b/>
          <w:color w:val="000000"/>
          <w:sz w:val="25"/>
          <w:szCs w:val="25"/>
        </w:rPr>
      </w:pPr>
      <w:r w:rsidRPr="0009556A">
        <w:rPr>
          <w:b/>
          <w:sz w:val="25"/>
          <w:szCs w:val="25"/>
        </w:rPr>
        <w:t xml:space="preserve">на </w:t>
      </w:r>
      <w:proofErr w:type="gramStart"/>
      <w:r w:rsidRPr="0009556A">
        <w:rPr>
          <w:b/>
          <w:sz w:val="25"/>
          <w:szCs w:val="25"/>
        </w:rPr>
        <w:t>которой</w:t>
      </w:r>
      <w:proofErr w:type="gramEnd"/>
      <w:r w:rsidRPr="0009556A">
        <w:rPr>
          <w:b/>
          <w:sz w:val="25"/>
          <w:szCs w:val="25"/>
        </w:rPr>
        <w:t xml:space="preserve"> могут </w:t>
      </w:r>
      <w:r w:rsidR="00ED0F5D" w:rsidRPr="0009556A">
        <w:rPr>
          <w:b/>
          <w:sz w:val="25"/>
          <w:szCs w:val="25"/>
        </w:rPr>
        <w:t>реализовываться инициативные</w:t>
      </w:r>
      <w:r w:rsidRPr="0009556A">
        <w:rPr>
          <w:b/>
          <w:sz w:val="25"/>
          <w:szCs w:val="25"/>
        </w:rPr>
        <w:t xml:space="preserve"> проекты</w:t>
      </w:r>
    </w:p>
    <w:p w14:paraId="084CD91D" w14:textId="77777777" w:rsidR="00CE7AFA" w:rsidRPr="0009556A" w:rsidRDefault="00CE7AFA" w:rsidP="005C5431">
      <w:pPr>
        <w:widowControl w:val="0"/>
        <w:autoSpaceDE w:val="0"/>
        <w:autoSpaceDN w:val="0"/>
        <w:jc w:val="center"/>
        <w:rPr>
          <w:b/>
          <w:color w:val="000000"/>
          <w:sz w:val="25"/>
          <w:szCs w:val="25"/>
        </w:rPr>
      </w:pPr>
    </w:p>
    <w:p w14:paraId="625A5318" w14:textId="43158B55" w:rsidR="00CE7AFA" w:rsidRPr="0009556A" w:rsidRDefault="00CE7AFA" w:rsidP="00CE7AF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1. Общие положения</w:t>
      </w:r>
    </w:p>
    <w:p w14:paraId="3E32AEEA" w14:textId="71ED2603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1.1. </w:t>
      </w:r>
      <w:r w:rsidR="00BC3E33" w:rsidRPr="0009556A">
        <w:rPr>
          <w:rFonts w:ascii="Times New Roman" w:hAnsi="Times New Roman" w:cs="Times New Roman"/>
          <w:sz w:val="25"/>
          <w:szCs w:val="25"/>
        </w:rPr>
        <w:t>Настоящий п</w:t>
      </w:r>
      <w:r w:rsidRPr="0009556A">
        <w:rPr>
          <w:rFonts w:ascii="Times New Roman" w:hAnsi="Times New Roman" w:cs="Times New Roman"/>
          <w:sz w:val="25"/>
          <w:szCs w:val="25"/>
        </w:rPr>
        <w:t>орядок определен</w:t>
      </w:r>
      <w:r w:rsidR="00D11B61" w:rsidRPr="0009556A">
        <w:rPr>
          <w:rFonts w:ascii="Times New Roman" w:hAnsi="Times New Roman" w:cs="Times New Roman"/>
          <w:sz w:val="25"/>
          <w:szCs w:val="25"/>
        </w:rPr>
        <w:t xml:space="preserve">ия части территории </w:t>
      </w:r>
      <w:proofErr w:type="spellStart"/>
      <w:r w:rsidR="00D11B61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округа, на которой могут реализовываться инициативные проекты (далее - Порядок) устанавливает процедуру определения части территории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</w:t>
      </w:r>
      <w:r w:rsidRPr="0009556A">
        <w:rPr>
          <w:rFonts w:ascii="Times New Roman" w:hAnsi="Times New Roman" w:cs="Times New Roman"/>
          <w:sz w:val="25"/>
          <w:szCs w:val="25"/>
        </w:rPr>
        <w:t xml:space="preserve"> по разработке и осуществлению мер, направленных на определение части территории </w:t>
      </w:r>
      <w:proofErr w:type="spellStart"/>
      <w:r w:rsidR="00BC3E33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округа, на которой могут реализовываться инициативные проекты.</w:t>
      </w:r>
    </w:p>
    <w:p w14:paraId="65C67CE8" w14:textId="334A7D67" w:rsidR="008D5C41" w:rsidRPr="0009556A" w:rsidRDefault="008D5C41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1.2. Для целей настоящего Порядка инициативный проект – это проект, внесенный в администрацию </w:t>
      </w:r>
      <w:proofErr w:type="spellStart"/>
      <w:r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округа, посредством  которого обеспечивается реализация мероприятий, имеющих приоритетное значение для жителей </w:t>
      </w:r>
      <w:proofErr w:type="spellStart"/>
      <w:r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или его части по решению вопросов местного значения или иных вопросов, право </w:t>
      </w:r>
      <w:proofErr w:type="gramStart"/>
      <w:r w:rsidRPr="0009556A">
        <w:rPr>
          <w:rFonts w:ascii="Times New Roman" w:hAnsi="Times New Roman" w:cs="Times New Roman"/>
          <w:sz w:val="25"/>
          <w:szCs w:val="25"/>
        </w:rPr>
        <w:t>решения</w:t>
      </w:r>
      <w:proofErr w:type="gramEnd"/>
      <w:r w:rsidRPr="0009556A">
        <w:rPr>
          <w:rFonts w:ascii="Times New Roman" w:hAnsi="Times New Roman" w:cs="Times New Roman"/>
          <w:sz w:val="25"/>
          <w:szCs w:val="25"/>
        </w:rPr>
        <w:t xml:space="preserve"> которых предоставлено </w:t>
      </w:r>
      <w:proofErr w:type="spellStart"/>
      <w:r w:rsidRPr="0009556A">
        <w:rPr>
          <w:rFonts w:ascii="Times New Roman" w:hAnsi="Times New Roman" w:cs="Times New Roman"/>
          <w:sz w:val="25"/>
          <w:szCs w:val="25"/>
        </w:rPr>
        <w:t>Арсеньевскому</w:t>
      </w:r>
      <w:proofErr w:type="spellEnd"/>
      <w:r w:rsidRPr="0009556A">
        <w:rPr>
          <w:rFonts w:ascii="Times New Roman" w:hAnsi="Times New Roman" w:cs="Times New Roman"/>
          <w:sz w:val="25"/>
          <w:szCs w:val="25"/>
        </w:rPr>
        <w:t xml:space="preserve"> городскому округу. </w:t>
      </w:r>
    </w:p>
    <w:p w14:paraId="396D0FC4" w14:textId="3C96CF2D" w:rsidR="00CE7AFA" w:rsidRPr="0009556A" w:rsidRDefault="00BC3E33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1.3</w:t>
      </w:r>
      <w:r w:rsidR="00CE7AFA" w:rsidRPr="0009556A">
        <w:rPr>
          <w:rFonts w:ascii="Times New Roman" w:hAnsi="Times New Roman" w:cs="Times New Roman"/>
          <w:sz w:val="25"/>
          <w:szCs w:val="25"/>
        </w:rPr>
        <w:t>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280293FE" w14:textId="7B1DAE79" w:rsidR="00CE7AFA" w:rsidRPr="0009556A" w:rsidRDefault="00CE7AFA" w:rsidP="005F44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инициативная группа численностью не менее 10 (десяти) граждан, достигших шестнадцатилетнего возраста и проживающих на территории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</w:t>
      </w:r>
      <w:r w:rsidRPr="0009556A">
        <w:rPr>
          <w:rFonts w:ascii="Times New Roman" w:hAnsi="Times New Roman" w:cs="Times New Roman"/>
          <w:sz w:val="25"/>
          <w:szCs w:val="25"/>
        </w:rPr>
        <w:t>;</w:t>
      </w:r>
    </w:p>
    <w:p w14:paraId="3604AB31" w14:textId="77777777" w:rsidR="005F4468" w:rsidRPr="0009556A" w:rsidRDefault="005F4468" w:rsidP="005F4468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proofErr w:type="spellStart"/>
      <w:r w:rsidRPr="0009556A">
        <w:rPr>
          <w:rFonts w:eastAsia="Calibri"/>
          <w:color w:val="000000"/>
          <w:sz w:val="25"/>
          <w:szCs w:val="25"/>
          <w:lang w:eastAsia="en-US"/>
        </w:rPr>
        <w:t>Арсеньевского</w:t>
      </w:r>
      <w:proofErr w:type="spellEnd"/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 городского округа;</w:t>
      </w:r>
    </w:p>
    <w:p w14:paraId="6C283E34" w14:textId="77777777" w:rsidR="005F4468" w:rsidRPr="0009556A" w:rsidRDefault="005F4468" w:rsidP="005F4468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индивидуальные предприниматели, осуществляющие свою деятельность на территории </w:t>
      </w:r>
      <w:proofErr w:type="spellStart"/>
      <w:r w:rsidRPr="0009556A">
        <w:rPr>
          <w:rFonts w:eastAsia="Calibri"/>
          <w:color w:val="000000"/>
          <w:sz w:val="25"/>
          <w:szCs w:val="25"/>
          <w:lang w:eastAsia="en-US"/>
        </w:rPr>
        <w:t>Арсеньевского</w:t>
      </w:r>
      <w:proofErr w:type="spellEnd"/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 городского округа;</w:t>
      </w:r>
    </w:p>
    <w:p w14:paraId="5EE75510" w14:textId="77777777" w:rsidR="005F4468" w:rsidRPr="0009556A" w:rsidRDefault="005F4468" w:rsidP="005F4468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юридические лица, осуществляющие свою деятельность на территории </w:t>
      </w:r>
      <w:proofErr w:type="spellStart"/>
      <w:r w:rsidRPr="0009556A">
        <w:rPr>
          <w:rFonts w:eastAsia="Calibri"/>
          <w:color w:val="000000"/>
          <w:sz w:val="25"/>
          <w:szCs w:val="25"/>
          <w:lang w:eastAsia="en-US"/>
        </w:rPr>
        <w:t>Арсеньевского</w:t>
      </w:r>
      <w:proofErr w:type="spellEnd"/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 городского округа, в том числе социально-ориентированные некоммерческие организации (далее - СОНКО).</w:t>
      </w:r>
    </w:p>
    <w:p w14:paraId="1090D3BE" w14:textId="07420333" w:rsidR="00CE7AFA" w:rsidRPr="0009556A" w:rsidRDefault="00BC3E33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1.4</w:t>
      </w:r>
      <w:r w:rsidR="00CE7AFA" w:rsidRPr="0009556A">
        <w:rPr>
          <w:rFonts w:ascii="Times New Roman" w:hAnsi="Times New Roman" w:cs="Times New Roman"/>
          <w:sz w:val="25"/>
          <w:szCs w:val="25"/>
        </w:rPr>
        <w:t xml:space="preserve">. Инициативные проекты могут реализовываться в границах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</w:t>
      </w:r>
      <w:r w:rsidR="00CA5BBA" w:rsidRPr="0009556A">
        <w:rPr>
          <w:rFonts w:ascii="Times New Roman" w:hAnsi="Times New Roman" w:cs="Times New Roman"/>
          <w:sz w:val="25"/>
          <w:szCs w:val="25"/>
        </w:rPr>
        <w:lastRenderedPageBreak/>
        <w:t xml:space="preserve">городского округа </w:t>
      </w:r>
      <w:r w:rsidR="00CE7AFA" w:rsidRPr="0009556A">
        <w:rPr>
          <w:rFonts w:ascii="Times New Roman" w:hAnsi="Times New Roman" w:cs="Times New Roman"/>
          <w:sz w:val="25"/>
          <w:szCs w:val="25"/>
        </w:rPr>
        <w:t>в пределах следующих территорий проживания граждан:</w:t>
      </w:r>
    </w:p>
    <w:p w14:paraId="1F17DAFF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территориального общественного самоуправления;</w:t>
      </w:r>
    </w:p>
    <w:p w14:paraId="71391A3D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группы жилых домов;</w:t>
      </w:r>
    </w:p>
    <w:p w14:paraId="5FB77AF7" w14:textId="4A797EE6" w:rsidR="00CE7AFA" w:rsidRPr="0009556A" w:rsidRDefault="00CE7AFA" w:rsidP="00ED0F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жилого микрорайона</w:t>
      </w:r>
      <w:r w:rsidR="00ED0F5D" w:rsidRPr="0009556A">
        <w:rPr>
          <w:rFonts w:ascii="Times New Roman" w:hAnsi="Times New Roman" w:cs="Times New Roman"/>
          <w:sz w:val="25"/>
          <w:szCs w:val="25"/>
        </w:rPr>
        <w:t>.</w:t>
      </w:r>
    </w:p>
    <w:p w14:paraId="1CF54F0B" w14:textId="77777777" w:rsidR="00CE7AFA" w:rsidRPr="0009556A" w:rsidRDefault="00CE7AFA" w:rsidP="00CE7A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CBF6C55" w14:textId="77777777" w:rsidR="00CE7AFA" w:rsidRPr="0009556A" w:rsidRDefault="00CE7AFA" w:rsidP="00CF6607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2. Порядок внесения и рассмотрения заявления об определении</w:t>
      </w:r>
    </w:p>
    <w:p w14:paraId="6A49FBDF" w14:textId="3D7ED964" w:rsidR="00CE7AFA" w:rsidRPr="0009556A" w:rsidRDefault="00CE7AFA" w:rsidP="00CF6607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 части территории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</w:t>
      </w:r>
      <w:r w:rsidRPr="0009556A">
        <w:rPr>
          <w:rFonts w:ascii="Times New Roman" w:hAnsi="Times New Roman" w:cs="Times New Roman"/>
          <w:sz w:val="25"/>
          <w:szCs w:val="25"/>
        </w:rPr>
        <w:t>, на которой могут реализовываться инициативные проекты</w:t>
      </w:r>
    </w:p>
    <w:p w14:paraId="33921E9E" w14:textId="77777777" w:rsidR="00CF6607" w:rsidRPr="0009556A" w:rsidRDefault="00CF6607" w:rsidP="00CF6607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33508E60" w14:textId="1A1FA3D0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2.1. 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Pr="0009556A">
        <w:rPr>
          <w:rFonts w:ascii="Times New Roman" w:hAnsi="Times New Roman" w:cs="Times New Roman"/>
          <w:sz w:val="25"/>
          <w:szCs w:val="25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14:paraId="3472D616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2.2.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14:paraId="348BE255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В случае если инициатором проекта является инициативная группа граждан, заявление подписывается всеми членами инициативной группы, с указанием фамилий, имен, отчеств, контактных телефонов.</w:t>
      </w:r>
    </w:p>
    <w:p w14:paraId="7576B6A2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P59"/>
      <w:bookmarkEnd w:id="0"/>
      <w:r w:rsidRPr="0009556A">
        <w:rPr>
          <w:rFonts w:ascii="Times New Roman" w:hAnsi="Times New Roman" w:cs="Times New Roman"/>
          <w:sz w:val="25"/>
          <w:szCs w:val="25"/>
        </w:rPr>
        <w:t>2.3. К заявлению инициатор проекта прикладывает следующие документы:</w:t>
      </w:r>
    </w:p>
    <w:p w14:paraId="66496A4C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инициативный проект;</w:t>
      </w:r>
    </w:p>
    <w:p w14:paraId="297FD2C8" w14:textId="31E1DF8D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копию протокола собрания инициативной группы о принятии решения о внесении в администрацию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Pr="0009556A">
        <w:rPr>
          <w:rFonts w:ascii="Times New Roman" w:hAnsi="Times New Roman" w:cs="Times New Roman"/>
          <w:sz w:val="25"/>
          <w:szCs w:val="25"/>
        </w:rPr>
        <w:t>инициативного проекта и определении границ территории, части территории, на которой будет реализовываться проект;</w:t>
      </w:r>
    </w:p>
    <w:p w14:paraId="79096214" w14:textId="6186791A" w:rsidR="008D0D57" w:rsidRPr="0009556A" w:rsidRDefault="008D0D57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округа;</w:t>
      </w:r>
    </w:p>
    <w:p w14:paraId="494AC1B9" w14:textId="32061765" w:rsidR="00A57E65" w:rsidRPr="0009556A" w:rsidRDefault="00CE7AFA" w:rsidP="00ED0F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согласие на обработку персональных данных.</w:t>
      </w:r>
    </w:p>
    <w:p w14:paraId="743D7CF4" w14:textId="662EFA5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2.4. Администрация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Pr="0009556A">
        <w:rPr>
          <w:rFonts w:ascii="Times New Roman" w:hAnsi="Times New Roman" w:cs="Times New Roman"/>
          <w:sz w:val="25"/>
          <w:szCs w:val="25"/>
        </w:rPr>
        <w:t>в течение 30 календарных дней со дня поступления заявления принимает решение:</w:t>
      </w:r>
    </w:p>
    <w:p w14:paraId="75EFA528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об определении границ части территории, на которой планируется реализовывать инициативный проект;</w:t>
      </w:r>
    </w:p>
    <w:p w14:paraId="059FEDCA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об отказе в определении границ части территории, на которой планируется реализовывать инициативный проект.</w:t>
      </w:r>
    </w:p>
    <w:p w14:paraId="63721467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66"/>
      <w:bookmarkEnd w:id="1"/>
      <w:r w:rsidRPr="0009556A">
        <w:rPr>
          <w:rFonts w:ascii="Times New Roman" w:hAnsi="Times New Roman" w:cs="Times New Roman"/>
          <w:sz w:val="25"/>
          <w:szCs w:val="25"/>
        </w:rPr>
        <w:t>2.5. Решение об отказе в определении границ части территории, на которой будет реализовываться проект, принимается в следующих случаях:</w:t>
      </w:r>
    </w:p>
    <w:p w14:paraId="2A85B233" w14:textId="3F3D9373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территория выходит за пределы территории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</w:t>
      </w:r>
      <w:r w:rsidRPr="0009556A">
        <w:rPr>
          <w:rFonts w:ascii="Times New Roman" w:hAnsi="Times New Roman" w:cs="Times New Roman"/>
          <w:sz w:val="25"/>
          <w:szCs w:val="25"/>
        </w:rPr>
        <w:t>;</w:t>
      </w:r>
    </w:p>
    <w:p w14:paraId="66120EE4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запрашиваемая территория закреплена в установленном законом порядке за иными пользователями или находится в собственности;</w:t>
      </w:r>
    </w:p>
    <w:p w14:paraId="5DD21BCA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lastRenderedPageBreak/>
        <w:t>в границах запрашиваемой территории реализуется иной инициативный проект;</w:t>
      </w:r>
    </w:p>
    <w:p w14:paraId="608101DA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14:paraId="5030F07F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реализация инициативного проекта на запрашиваемой территории противоречит нормам федерального, регионального, муниципального законодательства;</w:t>
      </w:r>
    </w:p>
    <w:p w14:paraId="00870BFC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несоответствие заявления и (или) документов, прилагаемых к заявлению, требованиям, установленным </w:t>
      </w:r>
      <w:hyperlink w:anchor="P59" w:history="1">
        <w:r w:rsidRPr="0009556A">
          <w:rPr>
            <w:rFonts w:ascii="Times New Roman" w:hAnsi="Times New Roman" w:cs="Times New Roman"/>
            <w:color w:val="000000" w:themeColor="text1"/>
            <w:sz w:val="25"/>
            <w:szCs w:val="25"/>
          </w:rPr>
          <w:t>пунктом 2.3</w:t>
        </w:r>
      </w:hyperlink>
      <w:r w:rsidRPr="000955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настоящего Порядка.</w:t>
      </w:r>
    </w:p>
    <w:p w14:paraId="57E37FD6" w14:textId="77777777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9556A">
        <w:rPr>
          <w:rFonts w:ascii="Times New Roman" w:hAnsi="Times New Roman" w:cs="Times New Roman"/>
          <w:color w:val="000000" w:themeColor="text1"/>
          <w:sz w:val="25"/>
          <w:szCs w:val="25"/>
        </w:rPr>
        <w:t>2.6. О принятом решении инициатору проекта сообщается в письменном виде с обоснованием (в случае отказа) принятого решения не позднее 5 рабочих дней со дня принятия решения.</w:t>
      </w:r>
    </w:p>
    <w:p w14:paraId="4DAC24E9" w14:textId="1105B5F4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2.7. При установлении случаев, указанных в </w:t>
      </w:r>
      <w:hyperlink w:anchor="P66" w:history="1">
        <w:r w:rsidRPr="0009556A">
          <w:rPr>
            <w:rFonts w:ascii="Times New Roman" w:hAnsi="Times New Roman" w:cs="Times New Roman"/>
            <w:color w:val="000000" w:themeColor="text1"/>
            <w:sz w:val="25"/>
            <w:szCs w:val="25"/>
          </w:rPr>
          <w:t>п. 2.5</w:t>
        </w:r>
      </w:hyperlink>
      <w:r w:rsidRPr="000955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</w:t>
      </w:r>
      <w:r w:rsidRPr="0009556A">
        <w:rPr>
          <w:rFonts w:ascii="Times New Roman" w:hAnsi="Times New Roman" w:cs="Times New Roman"/>
          <w:sz w:val="25"/>
          <w:szCs w:val="25"/>
        </w:rPr>
        <w:t xml:space="preserve">астоящего Порядка, администрация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Pr="0009556A">
        <w:rPr>
          <w:rFonts w:ascii="Times New Roman" w:hAnsi="Times New Roman" w:cs="Times New Roman"/>
          <w:sz w:val="25"/>
          <w:szCs w:val="25"/>
        </w:rPr>
        <w:t>предлагает инициаторам проекта иную территорию для реализации инициативного проекта.</w:t>
      </w:r>
    </w:p>
    <w:p w14:paraId="6010E0B9" w14:textId="31A72976" w:rsidR="00CE7AFA" w:rsidRPr="0009556A" w:rsidRDefault="00CE7AFA" w:rsidP="00CE7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Pr="0009556A">
        <w:rPr>
          <w:rFonts w:ascii="Times New Roman" w:hAnsi="Times New Roman" w:cs="Times New Roman"/>
          <w:sz w:val="25"/>
          <w:szCs w:val="25"/>
        </w:rPr>
        <w:t>соответствующего решения.</w:t>
      </w:r>
    </w:p>
    <w:p w14:paraId="028A107F" w14:textId="77777777" w:rsidR="00CE7AFA" w:rsidRPr="0009556A" w:rsidRDefault="00CE7AFA" w:rsidP="00CE7A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8A0CC55" w14:textId="2363AEAB" w:rsidR="00CE7AFA" w:rsidRPr="0009556A" w:rsidRDefault="00CE7AFA" w:rsidP="00CE7AF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3. Заключительные положения</w:t>
      </w:r>
    </w:p>
    <w:p w14:paraId="278A0FB6" w14:textId="7EE0B747" w:rsidR="00BC3E33" w:rsidRPr="0009556A" w:rsidRDefault="00BC3E33" w:rsidP="008D0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 xml:space="preserve">3.1. </w:t>
      </w:r>
      <w:r w:rsidR="00CE7AFA" w:rsidRPr="0009556A">
        <w:rPr>
          <w:rFonts w:ascii="Times New Roman" w:hAnsi="Times New Roman" w:cs="Times New Roman"/>
          <w:sz w:val="25"/>
          <w:szCs w:val="25"/>
        </w:rPr>
        <w:t xml:space="preserve">Решение администрации </w:t>
      </w:r>
      <w:proofErr w:type="spellStart"/>
      <w:r w:rsidR="00CA5BBA" w:rsidRPr="0009556A">
        <w:rPr>
          <w:rFonts w:ascii="Times New Roman" w:hAnsi="Times New Roman" w:cs="Times New Roman"/>
          <w:sz w:val="25"/>
          <w:szCs w:val="25"/>
        </w:rPr>
        <w:t>Арсеньевского</w:t>
      </w:r>
      <w:proofErr w:type="spellEnd"/>
      <w:r w:rsidR="00CA5BBA" w:rsidRPr="0009556A">
        <w:rPr>
          <w:rFonts w:ascii="Times New Roman" w:hAnsi="Times New Roman" w:cs="Times New Roman"/>
          <w:sz w:val="25"/>
          <w:szCs w:val="25"/>
        </w:rPr>
        <w:t xml:space="preserve"> городского округа </w:t>
      </w:r>
      <w:r w:rsidR="00CE7AFA" w:rsidRPr="0009556A">
        <w:rPr>
          <w:rFonts w:ascii="Times New Roman" w:hAnsi="Times New Roman" w:cs="Times New Roman"/>
          <w:sz w:val="25"/>
          <w:szCs w:val="25"/>
        </w:rPr>
        <w:t>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2EBC4F5D" w14:textId="77777777" w:rsidR="00ED0F5D" w:rsidRPr="0009556A" w:rsidRDefault="00ED0F5D" w:rsidP="008D0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51804DF1" w14:textId="387A33AF" w:rsidR="007F547F" w:rsidRPr="0009556A" w:rsidRDefault="00CE7AFA" w:rsidP="00CE7AFA">
      <w:pPr>
        <w:spacing w:line="360" w:lineRule="auto"/>
        <w:jc w:val="center"/>
        <w:rPr>
          <w:rFonts w:eastAsia="Calibri"/>
          <w:b/>
          <w:color w:val="000000"/>
          <w:sz w:val="25"/>
          <w:szCs w:val="25"/>
          <w:lang w:eastAsia="en-US"/>
        </w:rPr>
      </w:pPr>
      <w:r w:rsidRPr="0009556A">
        <w:rPr>
          <w:rFonts w:eastAsia="Calibri"/>
          <w:b/>
          <w:color w:val="000000"/>
          <w:sz w:val="25"/>
          <w:szCs w:val="25"/>
          <w:lang w:eastAsia="en-US"/>
        </w:rPr>
        <w:t>4</w:t>
      </w:r>
      <w:r w:rsidR="007F547F" w:rsidRPr="0009556A">
        <w:rPr>
          <w:rFonts w:eastAsia="Calibri"/>
          <w:b/>
          <w:color w:val="000000"/>
          <w:sz w:val="25"/>
          <w:szCs w:val="25"/>
          <w:lang w:eastAsia="en-US"/>
        </w:rPr>
        <w:t>. Вступление в силу</w:t>
      </w:r>
    </w:p>
    <w:p w14:paraId="6B6F8F20" w14:textId="374CB087" w:rsidR="007F547F" w:rsidRPr="0009556A" w:rsidRDefault="007F547F" w:rsidP="00CE7AFA">
      <w:pPr>
        <w:spacing w:line="360" w:lineRule="auto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9556A">
        <w:rPr>
          <w:rFonts w:eastAsia="Calibri"/>
          <w:color w:val="000000"/>
          <w:sz w:val="25"/>
          <w:szCs w:val="25"/>
          <w:lang w:eastAsia="en-US"/>
        </w:rPr>
        <w:tab/>
      </w:r>
      <w:r w:rsidR="00BC3E33" w:rsidRPr="0009556A">
        <w:rPr>
          <w:rFonts w:eastAsia="Calibri"/>
          <w:color w:val="000000"/>
          <w:sz w:val="25"/>
          <w:szCs w:val="25"/>
          <w:lang w:eastAsia="en-US"/>
        </w:rPr>
        <w:t xml:space="preserve">4.1. </w:t>
      </w:r>
      <w:r w:rsidRPr="0009556A">
        <w:rPr>
          <w:rFonts w:eastAsia="Calibri"/>
          <w:color w:val="000000"/>
          <w:sz w:val="25"/>
          <w:szCs w:val="25"/>
          <w:lang w:eastAsia="en-US"/>
        </w:rPr>
        <w:t>Настоящий муниципальный правовой а</w:t>
      </w:r>
      <w:proofErr w:type="gramStart"/>
      <w:r w:rsidRPr="0009556A">
        <w:rPr>
          <w:rFonts w:eastAsia="Calibri"/>
          <w:color w:val="000000"/>
          <w:sz w:val="25"/>
          <w:szCs w:val="25"/>
          <w:lang w:eastAsia="en-US"/>
        </w:rPr>
        <w:t>кт вст</w:t>
      </w:r>
      <w:proofErr w:type="gramEnd"/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упает в силу </w:t>
      </w:r>
      <w:r w:rsidR="00BE3656" w:rsidRPr="0009556A">
        <w:rPr>
          <w:rFonts w:eastAsia="Calibri"/>
          <w:color w:val="000000"/>
          <w:sz w:val="25"/>
          <w:szCs w:val="25"/>
          <w:lang w:eastAsia="en-US"/>
        </w:rPr>
        <w:t>после</w:t>
      </w:r>
      <w:r w:rsidRPr="0009556A">
        <w:rPr>
          <w:rFonts w:eastAsia="Calibri"/>
          <w:color w:val="000000"/>
          <w:sz w:val="25"/>
          <w:szCs w:val="25"/>
          <w:lang w:eastAsia="en-US"/>
        </w:rPr>
        <w:t xml:space="preserve"> его официального опубликования. </w:t>
      </w:r>
    </w:p>
    <w:p w14:paraId="05455FFE" w14:textId="1D8097F8" w:rsidR="007F547F" w:rsidRPr="0009556A" w:rsidRDefault="00ED0F5D" w:rsidP="00ED0F5D">
      <w:pPr>
        <w:spacing w:line="360" w:lineRule="auto"/>
        <w:ind w:firstLine="709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  <w:r w:rsidRPr="0009556A">
        <w:rPr>
          <w:rFonts w:eastAsia="Calibri"/>
          <w:color w:val="000000"/>
          <w:sz w:val="25"/>
          <w:szCs w:val="25"/>
          <w:lang w:eastAsia="en-US"/>
        </w:rPr>
        <w:softHyphen/>
      </w:r>
    </w:p>
    <w:p w14:paraId="5B76D773" w14:textId="77777777" w:rsidR="00B84514" w:rsidRPr="0009556A" w:rsidRDefault="00B84514" w:rsidP="008C0585">
      <w:pPr>
        <w:spacing w:line="360" w:lineRule="auto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14:paraId="6746D638" w14:textId="6222F01A" w:rsidR="008C0585" w:rsidRPr="0009556A" w:rsidRDefault="008C0585" w:rsidP="008C0585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Глава городского округа</w:t>
      </w:r>
      <w:r w:rsidRPr="0009556A">
        <w:rPr>
          <w:rFonts w:ascii="Times New Roman" w:hAnsi="Times New Roman" w:cs="Times New Roman"/>
          <w:sz w:val="25"/>
          <w:szCs w:val="25"/>
        </w:rPr>
        <w:tab/>
      </w:r>
      <w:r w:rsidRPr="0009556A">
        <w:rPr>
          <w:rFonts w:ascii="Times New Roman" w:hAnsi="Times New Roman" w:cs="Times New Roman"/>
          <w:sz w:val="25"/>
          <w:szCs w:val="25"/>
        </w:rPr>
        <w:tab/>
      </w:r>
      <w:r w:rsidRPr="0009556A">
        <w:rPr>
          <w:rFonts w:ascii="Times New Roman" w:hAnsi="Times New Roman" w:cs="Times New Roman"/>
          <w:sz w:val="25"/>
          <w:szCs w:val="25"/>
        </w:rPr>
        <w:tab/>
      </w:r>
      <w:r w:rsidRPr="0009556A">
        <w:rPr>
          <w:rFonts w:ascii="Times New Roman" w:hAnsi="Times New Roman" w:cs="Times New Roman"/>
          <w:sz w:val="25"/>
          <w:szCs w:val="25"/>
        </w:rPr>
        <w:tab/>
      </w:r>
      <w:r w:rsidRPr="0009556A">
        <w:rPr>
          <w:rFonts w:ascii="Times New Roman" w:hAnsi="Times New Roman" w:cs="Times New Roman"/>
          <w:sz w:val="25"/>
          <w:szCs w:val="25"/>
        </w:rPr>
        <w:tab/>
      </w:r>
      <w:r w:rsidRPr="0009556A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="00B84514" w:rsidRPr="0009556A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09556A">
        <w:rPr>
          <w:rFonts w:ascii="Times New Roman" w:hAnsi="Times New Roman" w:cs="Times New Roman"/>
          <w:sz w:val="25"/>
          <w:szCs w:val="25"/>
        </w:rPr>
        <w:tab/>
      </w:r>
      <w:r w:rsidR="00B84514" w:rsidRPr="0009556A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09556A">
        <w:rPr>
          <w:rFonts w:ascii="Times New Roman" w:hAnsi="Times New Roman" w:cs="Times New Roman"/>
          <w:sz w:val="25"/>
          <w:szCs w:val="25"/>
        </w:rPr>
        <w:t xml:space="preserve">В.С. </w:t>
      </w:r>
      <w:proofErr w:type="spellStart"/>
      <w:r w:rsidRPr="0009556A">
        <w:rPr>
          <w:rFonts w:ascii="Times New Roman" w:hAnsi="Times New Roman" w:cs="Times New Roman"/>
          <w:sz w:val="25"/>
          <w:szCs w:val="25"/>
        </w:rPr>
        <w:t>Пивень</w:t>
      </w:r>
      <w:proofErr w:type="spellEnd"/>
    </w:p>
    <w:p w14:paraId="23951609" w14:textId="77777777" w:rsidR="008C0585" w:rsidRPr="0009556A" w:rsidRDefault="008C0585" w:rsidP="008C0585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97B1C21" w14:textId="2E6D2B9F" w:rsidR="008C0585" w:rsidRPr="0009556A" w:rsidRDefault="008C0585" w:rsidP="008C0585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«</w:t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Pr="0009556A">
        <w:rPr>
          <w:rFonts w:ascii="Times New Roman" w:hAnsi="Times New Roman" w:cs="Times New Roman"/>
          <w:sz w:val="25"/>
          <w:szCs w:val="25"/>
        </w:rPr>
        <w:softHyphen/>
      </w:r>
      <w:r w:rsidR="00933F9F">
        <w:rPr>
          <w:rFonts w:ascii="Times New Roman" w:hAnsi="Times New Roman" w:cs="Times New Roman"/>
          <w:sz w:val="25"/>
          <w:szCs w:val="25"/>
        </w:rPr>
        <w:t>01</w:t>
      </w:r>
      <w:r w:rsidR="00CF6607" w:rsidRPr="0009556A">
        <w:rPr>
          <w:rFonts w:ascii="Times New Roman" w:hAnsi="Times New Roman" w:cs="Times New Roman"/>
          <w:sz w:val="25"/>
          <w:szCs w:val="25"/>
        </w:rPr>
        <w:t xml:space="preserve">» </w:t>
      </w:r>
      <w:r w:rsidR="00933F9F">
        <w:rPr>
          <w:rFonts w:ascii="Times New Roman" w:hAnsi="Times New Roman" w:cs="Times New Roman"/>
          <w:sz w:val="25"/>
          <w:szCs w:val="25"/>
        </w:rPr>
        <w:t xml:space="preserve">октября </w:t>
      </w:r>
      <w:bookmarkStart w:id="2" w:name="_GoBack"/>
      <w:bookmarkEnd w:id="2"/>
      <w:r w:rsidRPr="0009556A">
        <w:rPr>
          <w:rFonts w:ascii="Times New Roman" w:hAnsi="Times New Roman" w:cs="Times New Roman"/>
          <w:sz w:val="25"/>
          <w:szCs w:val="25"/>
        </w:rPr>
        <w:t>2021 года</w:t>
      </w:r>
    </w:p>
    <w:p w14:paraId="72F2F50D" w14:textId="7D0EF575" w:rsidR="008C0585" w:rsidRPr="0009556A" w:rsidRDefault="008C0585" w:rsidP="008C0585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9556A">
        <w:rPr>
          <w:rFonts w:ascii="Times New Roman" w:hAnsi="Times New Roman" w:cs="Times New Roman"/>
          <w:sz w:val="25"/>
          <w:szCs w:val="25"/>
        </w:rPr>
        <w:t>№</w:t>
      </w:r>
      <w:r w:rsidR="00CF6607" w:rsidRPr="0009556A">
        <w:rPr>
          <w:rFonts w:ascii="Times New Roman" w:hAnsi="Times New Roman" w:cs="Times New Roman"/>
          <w:sz w:val="25"/>
          <w:szCs w:val="25"/>
        </w:rPr>
        <w:t xml:space="preserve"> 273</w:t>
      </w:r>
      <w:r w:rsidRPr="0009556A">
        <w:rPr>
          <w:rFonts w:ascii="Times New Roman" w:hAnsi="Times New Roman" w:cs="Times New Roman"/>
          <w:sz w:val="25"/>
          <w:szCs w:val="25"/>
        </w:rPr>
        <w:t>-МПА</w:t>
      </w:r>
    </w:p>
    <w:sectPr w:rsidR="008C0585" w:rsidRPr="0009556A" w:rsidSect="0009556A">
      <w:pgSz w:w="11906" w:h="16838"/>
      <w:pgMar w:top="709" w:right="707" w:bottom="56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6B2"/>
    <w:multiLevelType w:val="hybridMultilevel"/>
    <w:tmpl w:val="C302DBD6"/>
    <w:lvl w:ilvl="0" w:tplc="778A763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736752"/>
    <w:multiLevelType w:val="hybridMultilevel"/>
    <w:tmpl w:val="C22CBC96"/>
    <w:lvl w:ilvl="0" w:tplc="F300C8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9556A"/>
    <w:rsid w:val="002262BC"/>
    <w:rsid w:val="0026704E"/>
    <w:rsid w:val="002F48EC"/>
    <w:rsid w:val="00345798"/>
    <w:rsid w:val="00406DBF"/>
    <w:rsid w:val="00412577"/>
    <w:rsid w:val="005C5431"/>
    <w:rsid w:val="005F4468"/>
    <w:rsid w:val="00652B4E"/>
    <w:rsid w:val="007F547F"/>
    <w:rsid w:val="00802D12"/>
    <w:rsid w:val="00856974"/>
    <w:rsid w:val="008A66BB"/>
    <w:rsid w:val="008B5AEF"/>
    <w:rsid w:val="008C0585"/>
    <w:rsid w:val="008D0D57"/>
    <w:rsid w:val="008D5C41"/>
    <w:rsid w:val="00931624"/>
    <w:rsid w:val="00933F9F"/>
    <w:rsid w:val="00947C02"/>
    <w:rsid w:val="00A57E65"/>
    <w:rsid w:val="00AD384B"/>
    <w:rsid w:val="00B61177"/>
    <w:rsid w:val="00B84514"/>
    <w:rsid w:val="00BC3E33"/>
    <w:rsid w:val="00BE3656"/>
    <w:rsid w:val="00C617E0"/>
    <w:rsid w:val="00CA5BBA"/>
    <w:rsid w:val="00CE7AFA"/>
    <w:rsid w:val="00CF6607"/>
    <w:rsid w:val="00D11B61"/>
    <w:rsid w:val="00D95E39"/>
    <w:rsid w:val="00E875E2"/>
    <w:rsid w:val="00ED0F5D"/>
    <w:rsid w:val="00F648C2"/>
    <w:rsid w:val="00FA349F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0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31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0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3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duma</cp:lastModifiedBy>
  <cp:revision>4</cp:revision>
  <cp:lastPrinted>2021-10-01T01:08:00Z</cp:lastPrinted>
  <dcterms:created xsi:type="dcterms:W3CDTF">2021-10-03T23:20:00Z</dcterms:created>
  <dcterms:modified xsi:type="dcterms:W3CDTF">2021-10-03T23:25:00Z</dcterms:modified>
</cp:coreProperties>
</file>