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D2" w:rsidRDefault="000B07D2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0B07D2" w:rsidRPr="0081502D" w:rsidRDefault="000B07D2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0B07D2" w:rsidRDefault="000B07D2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B07D2" w:rsidRPr="00C078D6" w:rsidRDefault="000B07D2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0B07D2" w:rsidRDefault="000B07D2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0B07D2" w:rsidRDefault="000B07D2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B07D2" w:rsidRDefault="000B07D2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0B07D2" w:rsidRDefault="000B07D2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0B07D2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0B07D2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0B07D2" w:rsidRPr="009C452A" w:rsidRDefault="000B07D2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августа 2013 г.</w:t>
            </w:r>
          </w:p>
        </w:tc>
        <w:tc>
          <w:tcPr>
            <w:tcW w:w="5101" w:type="dxa"/>
          </w:tcPr>
          <w:p w:rsidR="000B07D2" w:rsidRPr="009C452A" w:rsidRDefault="000B07D2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0B07D2" w:rsidRPr="009C452A" w:rsidRDefault="000B07D2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0B07D2" w:rsidRPr="009C452A" w:rsidRDefault="000B07D2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725-па</w:t>
            </w:r>
          </w:p>
        </w:tc>
      </w:tr>
    </w:tbl>
    <w:p w:rsidR="000B07D2" w:rsidRDefault="000B07D2" w:rsidP="00F66375">
      <w:pPr>
        <w:tabs>
          <w:tab w:val="left" w:pos="8041"/>
        </w:tabs>
        <w:ind w:firstLine="748"/>
        <w:sectPr w:rsidR="000B07D2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B07D2" w:rsidRDefault="000B07D2" w:rsidP="00F66375">
      <w:pPr>
        <w:tabs>
          <w:tab w:val="left" w:pos="8041"/>
        </w:tabs>
        <w:ind w:firstLine="748"/>
      </w:pPr>
    </w:p>
    <w:p w:rsidR="000B07D2" w:rsidRDefault="000B07D2" w:rsidP="00F66375">
      <w:pPr>
        <w:tabs>
          <w:tab w:val="left" w:pos="8041"/>
        </w:tabs>
        <w:ind w:firstLine="748"/>
      </w:pPr>
    </w:p>
    <w:p w:rsidR="000B07D2" w:rsidRDefault="000B07D2" w:rsidP="00F66375">
      <w:pPr>
        <w:tabs>
          <w:tab w:val="left" w:pos="8041"/>
        </w:tabs>
        <w:ind w:firstLine="748"/>
        <w:sectPr w:rsidR="000B07D2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0B07D2" w:rsidRDefault="000B07D2" w:rsidP="002A387D">
      <w:pPr>
        <w:jc w:val="center"/>
        <w:rPr>
          <w:b/>
          <w:szCs w:val="26"/>
        </w:rPr>
      </w:pPr>
      <w:r>
        <w:rPr>
          <w:b/>
          <w:szCs w:val="26"/>
        </w:rPr>
        <w:t>Об утверждении Порядка согласования заимствований и крупных сделок, осуществляемых муниципальными унитарными предприятиями Арсеньевского городского округа</w:t>
      </w:r>
    </w:p>
    <w:p w:rsidR="000B07D2" w:rsidRDefault="000B07D2" w:rsidP="002A387D">
      <w:pPr>
        <w:spacing w:line="360" w:lineRule="auto"/>
        <w:rPr>
          <w:szCs w:val="26"/>
        </w:rPr>
      </w:pPr>
    </w:p>
    <w:p w:rsidR="000B07D2" w:rsidRDefault="000B07D2" w:rsidP="002A387D">
      <w:pPr>
        <w:spacing w:line="360" w:lineRule="auto"/>
        <w:rPr>
          <w:szCs w:val="26"/>
        </w:rPr>
      </w:pPr>
      <w:r>
        <w:rPr>
          <w:szCs w:val="26"/>
        </w:rPr>
        <w:t>В соответствии с пунктом 3 статьи 23, пунктом 2 статьи 24 Федерального закона от 14 ноября 2002 года N 161-ФЗ «О государственных и муниципальных унитарных предприятиях», в целях упорядочения процесса заимствований и заключения крупных сделок, осуществляемых муниципальными унитарными предприятиями Арсеньевского городского округа, руководствуясь Уставом Арсеньевского городского округа, администрация Арсеньевского городского округа</w:t>
      </w:r>
    </w:p>
    <w:p w:rsidR="000B07D2" w:rsidRDefault="000B07D2" w:rsidP="002A387D">
      <w:pPr>
        <w:rPr>
          <w:szCs w:val="26"/>
        </w:rPr>
      </w:pPr>
    </w:p>
    <w:p w:rsidR="000B07D2" w:rsidRDefault="000B07D2" w:rsidP="002A387D">
      <w:pPr>
        <w:rPr>
          <w:szCs w:val="26"/>
        </w:rPr>
      </w:pPr>
    </w:p>
    <w:p w:rsidR="000B07D2" w:rsidRDefault="000B07D2" w:rsidP="002A387D">
      <w:pPr>
        <w:ind w:firstLine="0"/>
        <w:rPr>
          <w:szCs w:val="26"/>
        </w:rPr>
      </w:pPr>
      <w:r>
        <w:rPr>
          <w:szCs w:val="26"/>
        </w:rPr>
        <w:t>ПОСТАНОВЛЯЕТ:</w:t>
      </w:r>
    </w:p>
    <w:p w:rsidR="000B07D2" w:rsidRDefault="000B07D2" w:rsidP="002A387D">
      <w:pPr>
        <w:rPr>
          <w:szCs w:val="26"/>
        </w:rPr>
      </w:pPr>
    </w:p>
    <w:p w:rsidR="000B07D2" w:rsidRDefault="000B07D2" w:rsidP="002A387D">
      <w:pPr>
        <w:rPr>
          <w:szCs w:val="26"/>
        </w:rPr>
      </w:pPr>
    </w:p>
    <w:p w:rsidR="000B07D2" w:rsidRDefault="000B07D2" w:rsidP="002A387D">
      <w:pPr>
        <w:tabs>
          <w:tab w:val="left" w:pos="993"/>
        </w:tabs>
        <w:spacing w:line="360" w:lineRule="auto"/>
        <w:rPr>
          <w:szCs w:val="26"/>
        </w:rPr>
      </w:pPr>
      <w:r>
        <w:rPr>
          <w:szCs w:val="26"/>
        </w:rPr>
        <w:t>1. Утвердить прилагаемый Порядок согласования заимствований и крупных сделок, осуществляемых муниципальными унитарными предприятиями Арсеньевского городского округа.</w:t>
      </w:r>
    </w:p>
    <w:p w:rsidR="000B07D2" w:rsidRDefault="000B07D2" w:rsidP="002A387D">
      <w:pPr>
        <w:spacing w:line="360" w:lineRule="auto"/>
        <w:rPr>
          <w:szCs w:val="26"/>
          <w:lang w:eastAsia="en-US"/>
        </w:rPr>
      </w:pPr>
      <w:r>
        <w:rPr>
          <w:szCs w:val="26"/>
        </w:rPr>
        <w:t>2. Настоящее постановление вступает в силу со дня его официального опубликования.</w:t>
      </w:r>
    </w:p>
    <w:p w:rsidR="000B07D2" w:rsidRDefault="000B07D2" w:rsidP="002A387D">
      <w:pPr>
        <w:spacing w:line="360" w:lineRule="auto"/>
        <w:rPr>
          <w:szCs w:val="26"/>
        </w:rPr>
      </w:pPr>
      <w:r>
        <w:rPr>
          <w:szCs w:val="26"/>
        </w:rPr>
        <w:t>3. Контроль за исполнением настоящего постановления возложить на заместителя главы администрации Арсеньевского городского округа по экономике С.В.Острякова.</w:t>
      </w:r>
    </w:p>
    <w:p w:rsidR="000B07D2" w:rsidRDefault="000B07D2" w:rsidP="002A387D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0B07D2" w:rsidRDefault="000B07D2" w:rsidP="002A387D">
      <w:pPr>
        <w:rPr>
          <w:szCs w:val="26"/>
        </w:rPr>
      </w:pPr>
    </w:p>
    <w:p w:rsidR="000B07D2" w:rsidRDefault="000B07D2" w:rsidP="002A387D">
      <w:pPr>
        <w:ind w:firstLine="0"/>
        <w:rPr>
          <w:szCs w:val="26"/>
          <w:lang w:eastAsia="en-US"/>
        </w:rPr>
      </w:pPr>
      <w:r>
        <w:rPr>
          <w:szCs w:val="26"/>
        </w:rPr>
        <w:t xml:space="preserve">Глава городского округа </w:t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</w:r>
      <w:bookmarkStart w:id="0" w:name="_GoBack"/>
      <w:bookmarkEnd w:id="0"/>
      <w:r>
        <w:rPr>
          <w:szCs w:val="26"/>
        </w:rPr>
        <w:tab/>
      </w:r>
      <w:r>
        <w:rPr>
          <w:szCs w:val="26"/>
        </w:rPr>
        <w:tab/>
      </w:r>
      <w:r>
        <w:rPr>
          <w:szCs w:val="26"/>
        </w:rPr>
        <w:tab/>
        <w:t>А.А.Дронин</w:t>
      </w:r>
    </w:p>
    <w:p w:rsidR="000B07D2" w:rsidRDefault="000B07D2" w:rsidP="002A387D">
      <w:pPr>
        <w:ind w:left="5103"/>
        <w:jc w:val="center"/>
        <w:rPr>
          <w:szCs w:val="26"/>
        </w:rPr>
      </w:pPr>
    </w:p>
    <w:p w:rsidR="000B07D2" w:rsidRDefault="000B07D2" w:rsidP="002A387D">
      <w:pPr>
        <w:ind w:left="5103"/>
        <w:jc w:val="center"/>
        <w:rPr>
          <w:szCs w:val="26"/>
        </w:rPr>
      </w:pPr>
    </w:p>
    <w:p w:rsidR="000B07D2" w:rsidRDefault="000B07D2" w:rsidP="002A387D">
      <w:pPr>
        <w:ind w:left="5103"/>
        <w:jc w:val="center"/>
        <w:rPr>
          <w:szCs w:val="26"/>
        </w:rPr>
      </w:pPr>
    </w:p>
    <w:p w:rsidR="000B07D2" w:rsidRDefault="000B07D2" w:rsidP="002A387D">
      <w:pPr>
        <w:ind w:left="5103"/>
        <w:jc w:val="center"/>
        <w:rPr>
          <w:szCs w:val="26"/>
        </w:rPr>
      </w:pPr>
    </w:p>
    <w:p w:rsidR="000B07D2" w:rsidRDefault="000B07D2" w:rsidP="002A387D">
      <w:pPr>
        <w:ind w:left="5103"/>
        <w:jc w:val="center"/>
        <w:rPr>
          <w:szCs w:val="26"/>
        </w:rPr>
      </w:pPr>
      <w:r>
        <w:rPr>
          <w:szCs w:val="26"/>
        </w:rPr>
        <w:t>УТВЕРЖДЕН</w:t>
      </w:r>
    </w:p>
    <w:p w:rsidR="000B07D2" w:rsidRDefault="000B07D2" w:rsidP="002A387D">
      <w:pPr>
        <w:ind w:left="5103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:rsidR="000B07D2" w:rsidRDefault="000B07D2" w:rsidP="002A387D">
      <w:pPr>
        <w:ind w:left="5103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0B07D2" w:rsidRDefault="000B07D2" w:rsidP="002A387D">
      <w:pPr>
        <w:ind w:left="5103"/>
        <w:jc w:val="center"/>
        <w:rPr>
          <w:szCs w:val="26"/>
        </w:rPr>
      </w:pPr>
      <w:r>
        <w:rPr>
          <w:szCs w:val="26"/>
        </w:rPr>
        <w:t xml:space="preserve">от </w:t>
      </w:r>
      <w:r>
        <w:rPr>
          <w:szCs w:val="26"/>
          <w:u w:val="single"/>
        </w:rPr>
        <w:t>29 августа 2013 г.</w:t>
      </w:r>
      <w:r>
        <w:rPr>
          <w:szCs w:val="26"/>
        </w:rPr>
        <w:t xml:space="preserve"> № </w:t>
      </w:r>
      <w:r>
        <w:rPr>
          <w:szCs w:val="26"/>
          <w:u w:val="single"/>
        </w:rPr>
        <w:t>725-па</w:t>
      </w:r>
    </w:p>
    <w:p w:rsidR="000B07D2" w:rsidRDefault="000B07D2" w:rsidP="002A387D">
      <w:pPr>
        <w:rPr>
          <w:b/>
          <w:bCs/>
          <w:szCs w:val="26"/>
        </w:rPr>
      </w:pPr>
    </w:p>
    <w:p w:rsidR="000B07D2" w:rsidRDefault="000B07D2" w:rsidP="002A387D">
      <w:pPr>
        <w:jc w:val="center"/>
        <w:rPr>
          <w:szCs w:val="26"/>
        </w:rPr>
      </w:pPr>
      <w:r>
        <w:rPr>
          <w:b/>
          <w:bCs/>
          <w:szCs w:val="26"/>
        </w:rPr>
        <w:t>ПОРЯДОК</w:t>
      </w:r>
    </w:p>
    <w:p w:rsidR="000B07D2" w:rsidRDefault="000B07D2" w:rsidP="002A387D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СОГЛАСОВАНИЯ ЗАИМСТВОВАНИЙ И </w:t>
      </w:r>
      <w:r>
        <w:rPr>
          <w:b/>
          <w:szCs w:val="26"/>
        </w:rPr>
        <w:t>КРУПНЫХ</w:t>
      </w:r>
      <w:r>
        <w:rPr>
          <w:szCs w:val="26"/>
        </w:rPr>
        <w:t xml:space="preserve"> </w:t>
      </w:r>
      <w:r>
        <w:rPr>
          <w:b/>
          <w:bCs/>
          <w:szCs w:val="26"/>
        </w:rPr>
        <w:t>СДЕЛОК, ОСУЩЕСТВЛЯЕМЫХ МУНИЦИПАЛЬНЫМИ УНИТАРНЫМИ ПРЕДПРИЯТИЯМИ АРСЕНЬЕВСКОГО ГОРОДСКОГО ОКРУГА</w:t>
      </w:r>
    </w:p>
    <w:p w:rsidR="000B07D2" w:rsidRDefault="000B07D2" w:rsidP="002A387D">
      <w:pPr>
        <w:jc w:val="center"/>
        <w:rPr>
          <w:szCs w:val="26"/>
        </w:rPr>
      </w:pPr>
    </w:p>
    <w:p w:rsidR="000B07D2" w:rsidRDefault="000B07D2" w:rsidP="002A387D">
      <w:pPr>
        <w:rPr>
          <w:szCs w:val="26"/>
        </w:rPr>
      </w:pPr>
      <w:r>
        <w:rPr>
          <w:szCs w:val="26"/>
        </w:rPr>
        <w:t>I. Общие положения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1. Порядок согласования заимствований и крупных сделок, осуществляемых муниципальными унитарными предприятиями Арсеньевского городского округа (далее - Порядок), разработан в соответствии с Гражданским кодексом Российской Федерации, Федеральным законом от 14 ноября 2002 года №161-ФЗ «О государственных и муниципальных унитарных предприятиях».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2. Порядок регулирует процедуру согласования сделок муниципальных унитарных предприятий Арсеньевского городского округа (далее - предприятия), требующих согласования с собственником в соответствии с действующим законодательством.</w:t>
      </w:r>
    </w:p>
    <w:p w:rsidR="000B07D2" w:rsidRDefault="000B07D2" w:rsidP="002A387D">
      <w:pPr>
        <w:rPr>
          <w:szCs w:val="26"/>
        </w:rPr>
      </w:pPr>
    </w:p>
    <w:p w:rsidR="000B07D2" w:rsidRDefault="000B07D2" w:rsidP="002A387D">
      <w:pPr>
        <w:rPr>
          <w:szCs w:val="26"/>
        </w:rPr>
      </w:pPr>
      <w:r>
        <w:rPr>
          <w:szCs w:val="26"/>
        </w:rPr>
        <w:t>II. Согласование заимствований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3. Порядком регулируется согласование предприятиями заимствований, осуществляемых в форме кредитов по договорам с кредитными организациями.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4. Согласование заимствований, объема и направлений использования привлекаемых предприятиями средств осуществляется управлением имущественных отношений администрации Арсеньевского городского округа (далее – уполномоченный орган) до заключения договоров о заимствованиях.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5. В целях получения согласования на осуществление заимствования предприятие направляет в уполномоченный орган заявление, составленное в произвольной форме и подписанное руководителем и главным бухгалтером предприятия. В заявлении указываются: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наименование предприятия - заявителя;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полное наименование и местонахождение предполагаемого заимодавца или кредитора (далее - кредитор);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предполагаемый размер заемных средств с обоснованием необходимости и направлений использования привлекаемых средств, размер процентов по указанному кредиту (займу);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предполагаемый период заимствования;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способ и размер обеспечения исполнения обязательств по возврату заемных средств и процентов за их использование (если заимствование осуществляется с обеспечением).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6. К заявлению прилагаются следующие документы: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1) технико-экономическое обоснование, отражающее техническую и экономическую целесообразность и эффективность привлечения заемных средств с указанием графика их погашения и источников возврата заемных средств и процентов за их использование;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2) заключение структурного подразделения (органа) администрации Арсеньевского городского округа, осуществляющего координацию и регулирование в соответствующей сфере (отрасли), в ведомственном подчинении которого находится предприятие (далее - отраслевой орган), на осуществление заимствования и обеспечения исполнения обязательств по возврату заемных средств (если заимствование осуществляется с обеспечением);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3) копии форм бухгалтерской отчетности предприятия за последний год и последний отчетный период с отметкой территориальной инспекции Федеральной налоговой службы об их принятии, заверенные руководителем и печатью предприятия;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4) справки кредитных организаций о задолженности (в том числе просроченной) и надлежащем (ненадлежащем) выполнении условий по текущим кредитам (в случае отсутствия ранее выданных и непогашенных кредитов - соответствующая справка предприятия, подписанная руководителем и главным бухгалтером предприятия);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5) копия утвержденной программы деятельности предприятия на текущий год;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6) справка территориальной инспекции Федеральной налоговой службы о наличии или отсутствии задолженности по уплате налогов, сборов в бюджеты всех уровней Российской Федерации;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7) перечень передаваемого в залог имущества с указанием его балансовой и залоговой стоимости с приложением проекта договора о залоге;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7. Заявление и прилагаемые к нему документы регистрируются в уполномоченном органе в день их поступления.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Заявление и прилагаемые к нему документы, не отвечающие требованиям пунктов 5 и 6 Порядка, направляются предприятию в десятидневный срок.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Документ о согласовании заимствования или мотивированный отказ в согласовании осуществления заимствования в письменном виде направляется предприятию уполномоченным органом в срок не более 30 календарных дней со дня поступления заявления и прилагаемых к нему документов.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8. Документ о согласовании заимствования должен в обязательном порядке содержать следующую информацию: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размер и форма заимствования;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размер процентов по указанному кредиту (займу);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срок заимствования;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цели заимствования;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наименование кредитора по кредитному договору (договору займа);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способ и размер обеспечения исполнения обязательств по возврату заемных средств (если заимствование осуществляется с обеспечением).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9. Основаниями для отказа в согласовании заимствования являются: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представление предприятием недостоверных сведений;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нахождение предприятия в стадии ликвидации;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возбуждение в отношении предприятия арбитражным судом дела о несостоятельности (банкротстве);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несоответствие направлений заимствования видам деятельности, предусмотренным уставом предприятия;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отрицательное заключение отраслевого органа на осуществление заимствования и обеспечения исполнения обязательств по возврату заемных средств (если заимствование осуществляется с обеспечением);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отсутствие планирования получения заимствования и обеспечения исполнения обязательств по возврату заемных средств (если заимствование осуществляется с обеспечением) в программе деятельности предприятия на текущий год;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стоимость чистых активов менее размера уставного фонда предприятия;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нецелевое использование полученных ранее заимствований;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наличие просроченных платежей по полученным ранее заимствованиям или ненадлежащее выполнение условий по текущим кредитам;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наличие просроченной задолженности по уплате налогов, сборов в бюджеты всех уровней Российской Федерации.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10. Предприятия, осуществившие заимствования, в течение пяти рабочих дней со дня осуществления заимствования обязаны представить копию договора займа в уполномоченный орган.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11. Предприятия, осуществившие залог, в течение пяти рабочих дней со дня осуществления залога обязаны представить копию договора залога в уполномоченный орган.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12. Пролонгация договоров о заимствованиях, залогах или изменении их существенных условий осуществляется в соответствии с положениями пунктов 5, 6 Порядка.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13. Предприятие ежеквартально направляет в уполномоченный орган информацию о целевом использовании заемных средств, платежах в погашение заемных обязательств и процентов по ним, исполнении своих обязательств и представляет соответствующие подтверждающие документы. Информация подписывается руководителем и главным бухгалтером предприятия и заверяется печатью предприятия. Информация должна быть представлена в сроки, установленные для сдачи квартальной бухгалтерской отчетности.</w:t>
      </w:r>
    </w:p>
    <w:p w:rsidR="000B07D2" w:rsidRDefault="000B07D2" w:rsidP="002A387D">
      <w:pPr>
        <w:rPr>
          <w:szCs w:val="26"/>
        </w:rPr>
      </w:pPr>
    </w:p>
    <w:p w:rsidR="000B07D2" w:rsidRDefault="000B07D2" w:rsidP="002A387D">
      <w:pPr>
        <w:rPr>
          <w:szCs w:val="26"/>
        </w:rPr>
      </w:pPr>
      <w:r>
        <w:rPr>
          <w:szCs w:val="26"/>
        </w:rPr>
        <w:t>III. Согласование иных крупных сделок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14. Согласование крупных сделок, заключаемых предприятиями, осуществляется уполномоченным органом до заключения сделок.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15. В целях получения согласования на осуществление крупных сделок, заключаемых предприятиями, предприятие направляет в уполномоченный орган заявление, составленное в произвольной форме и подписанное руководителем и главным бухгалтером предприятия (с указанием цели совершения сделки, условий, предмета, цены и других существенных условий сделки).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16. К заявлению прилагаются следующие документы: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1) согласование отраслевого органа на совершение предполагаемой сделки;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2) копия утвержденной программы деятельности предприятия на текущий год;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3) проект договора о заключении сделки.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17. Заявление и прилагаемые к нему документы регистрируются уполномоченным органом в день их поступления.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Заявление и прилагаемые к нему документы, не отвечающие требованиям пунктов 16 и 17 Порядка, направляются предприятию в десятидневный срок.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Документ о согласовании сделки или мотивированный отказ в согласовании в совершении сделки в письменном виде направляется предприятию уполномоченным органом в срок не более 30 календарных дней со дня поступления заявления и прилагаемых к нему документов.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18. Документ о согласовании сделки должен в обязательном порядке содержать ее условия.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19. Основаниями для отказа в согласовании заключения сделки являются: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представление предприятием недостоверных сведений;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нахождение предприятия в стадии ликвидации;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возбуждение в отношении предприятия арбитражным судом дела о несостоятельности (банкротстве);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несоответствие заключаемой сделки видам деятельности, предусмотренным уставом предприятия;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возражение отраслевого органа на заключение сделки;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отсутствие планирования заключения предполагаемых сделок в программе деятельности предприятия на текущий год.</w:t>
      </w:r>
    </w:p>
    <w:p w:rsidR="000B07D2" w:rsidRDefault="000B07D2" w:rsidP="002A387D">
      <w:pPr>
        <w:rPr>
          <w:szCs w:val="26"/>
        </w:rPr>
      </w:pPr>
      <w:r>
        <w:rPr>
          <w:szCs w:val="26"/>
        </w:rPr>
        <w:t>20. Руководители и должностные лица предприятия несут ответственность за нарушение или ненадлежащее исполнение требований Порядка в соответствии с действующим законодательством Российской Федерации.</w:t>
      </w:r>
    </w:p>
    <w:p w:rsidR="000B07D2" w:rsidRDefault="000B07D2" w:rsidP="002A387D">
      <w:pPr>
        <w:rPr>
          <w:szCs w:val="26"/>
          <w:lang w:eastAsia="en-US"/>
        </w:rPr>
      </w:pPr>
    </w:p>
    <w:p w:rsidR="000B07D2" w:rsidRDefault="000B07D2" w:rsidP="002A387D">
      <w:pPr>
        <w:ind w:firstLine="0"/>
        <w:jc w:val="center"/>
        <w:rPr>
          <w:szCs w:val="26"/>
        </w:rPr>
      </w:pPr>
      <w:r>
        <w:rPr>
          <w:szCs w:val="26"/>
        </w:rPr>
        <w:t>________________________</w:t>
      </w:r>
    </w:p>
    <w:p w:rsidR="000B07D2" w:rsidRPr="00BE6D8D" w:rsidRDefault="000B07D2" w:rsidP="00992B48">
      <w:pPr>
        <w:tabs>
          <w:tab w:val="left" w:pos="8041"/>
        </w:tabs>
        <w:rPr>
          <w:sz w:val="28"/>
          <w:szCs w:val="28"/>
        </w:rPr>
      </w:pPr>
    </w:p>
    <w:sectPr w:rsidR="000B07D2" w:rsidRPr="00BE6D8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7D2" w:rsidRDefault="000B07D2">
      <w:r>
        <w:separator/>
      </w:r>
    </w:p>
  </w:endnote>
  <w:endnote w:type="continuationSeparator" w:id="0">
    <w:p w:rsidR="000B07D2" w:rsidRDefault="000B07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7D2" w:rsidRDefault="000B07D2">
      <w:r>
        <w:separator/>
      </w:r>
    </w:p>
  </w:footnote>
  <w:footnote w:type="continuationSeparator" w:id="0">
    <w:p w:rsidR="000B07D2" w:rsidRDefault="000B07D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D2" w:rsidRDefault="000B07D2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7D2" w:rsidRDefault="000B07D2" w:rsidP="007B2B5B">
    <w:pPr>
      <w:shd w:val="clear" w:color="auto" w:fill="FFFFFF"/>
      <w:ind w:firstLine="0"/>
      <w:jc w:val="center"/>
      <w:rPr>
        <w:color w:val="000000"/>
        <w:szCs w:val="26"/>
      </w:rPr>
    </w:pPr>
    <w:r w:rsidRPr="00FC6D7D">
      <w:rPr>
        <w:noProof/>
        <w:color w:val="000000"/>
        <w:szCs w:val="26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Рисунок 1" o:spid="_x0000_i1026" type="#_x0000_t75" alt="Герб4" style="width:46.2pt;height:58.8pt;visibility:visible">
          <v:imagedata r:id="rId1" o:title="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6776"/>
    <w:rsid w:val="00012E93"/>
    <w:rsid w:val="0008485B"/>
    <w:rsid w:val="000B07D2"/>
    <w:rsid w:val="000B49D9"/>
    <w:rsid w:val="00150A68"/>
    <w:rsid w:val="001C12F8"/>
    <w:rsid w:val="001D210B"/>
    <w:rsid w:val="001E09E6"/>
    <w:rsid w:val="001F38B4"/>
    <w:rsid w:val="001F5E74"/>
    <w:rsid w:val="001F7ABE"/>
    <w:rsid w:val="00206BE9"/>
    <w:rsid w:val="0025096D"/>
    <w:rsid w:val="00286612"/>
    <w:rsid w:val="002A387D"/>
    <w:rsid w:val="002F5299"/>
    <w:rsid w:val="00300FA4"/>
    <w:rsid w:val="00303407"/>
    <w:rsid w:val="003C7484"/>
    <w:rsid w:val="003F5F54"/>
    <w:rsid w:val="00403018"/>
    <w:rsid w:val="00454238"/>
    <w:rsid w:val="00471E00"/>
    <w:rsid w:val="00514707"/>
    <w:rsid w:val="00592A52"/>
    <w:rsid w:val="005A55C1"/>
    <w:rsid w:val="005F45EB"/>
    <w:rsid w:val="005F621C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02D"/>
    <w:rsid w:val="00882939"/>
    <w:rsid w:val="008C4959"/>
    <w:rsid w:val="008C51D3"/>
    <w:rsid w:val="008E0B13"/>
    <w:rsid w:val="009031B8"/>
    <w:rsid w:val="009750B7"/>
    <w:rsid w:val="00992B48"/>
    <w:rsid w:val="00994D10"/>
    <w:rsid w:val="009B6CA3"/>
    <w:rsid w:val="009C0896"/>
    <w:rsid w:val="009C452A"/>
    <w:rsid w:val="00A90A27"/>
    <w:rsid w:val="00AB6BB2"/>
    <w:rsid w:val="00AC5275"/>
    <w:rsid w:val="00B4356A"/>
    <w:rsid w:val="00B53139"/>
    <w:rsid w:val="00B90291"/>
    <w:rsid w:val="00B945F8"/>
    <w:rsid w:val="00BA10C1"/>
    <w:rsid w:val="00BB5081"/>
    <w:rsid w:val="00BC3DC5"/>
    <w:rsid w:val="00BE6D8D"/>
    <w:rsid w:val="00C078D6"/>
    <w:rsid w:val="00C53553"/>
    <w:rsid w:val="00C86421"/>
    <w:rsid w:val="00CD66E5"/>
    <w:rsid w:val="00D03713"/>
    <w:rsid w:val="00D127D8"/>
    <w:rsid w:val="00D203CE"/>
    <w:rsid w:val="00D7375A"/>
    <w:rsid w:val="00D96501"/>
    <w:rsid w:val="00DB1B88"/>
    <w:rsid w:val="00DF02F0"/>
    <w:rsid w:val="00E0057D"/>
    <w:rsid w:val="00E26D49"/>
    <w:rsid w:val="00E66776"/>
    <w:rsid w:val="00E954C3"/>
    <w:rsid w:val="00EC6431"/>
    <w:rsid w:val="00EE6E10"/>
    <w:rsid w:val="00EF340C"/>
    <w:rsid w:val="00F057D9"/>
    <w:rsid w:val="00F66375"/>
    <w:rsid w:val="00F7778A"/>
    <w:rsid w:val="00FA31F5"/>
    <w:rsid w:val="00FC6D7D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66E9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66E9"/>
    <w:rPr>
      <w:sz w:val="26"/>
      <w:szCs w:val="20"/>
    </w:rPr>
  </w:style>
  <w:style w:type="paragraph" w:styleId="BalloonText">
    <w:name w:val="Balloon Text"/>
    <w:basedOn w:val="Normal"/>
    <w:link w:val="BalloonTextChar"/>
    <w:uiPriority w:val="99"/>
    <w:rsid w:val="002A38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2A387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A387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48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5</Pages>
  <Words>1478</Words>
  <Characters>8430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</dc:creator>
  <cp:keywords/>
  <dc:description/>
  <cp:lastModifiedBy>Зоя Герасимова</cp:lastModifiedBy>
  <cp:revision>3</cp:revision>
  <cp:lastPrinted>2005-06-15T01:09:00Z</cp:lastPrinted>
  <dcterms:created xsi:type="dcterms:W3CDTF">2013-08-27T06:00:00Z</dcterms:created>
  <dcterms:modified xsi:type="dcterms:W3CDTF">2013-08-30T00:26:00Z</dcterms:modified>
</cp:coreProperties>
</file>